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40" w:lineRule="atLeast"/>
        <w:jc w:val="center"/>
        <w:rPr>
          <w:rFonts w:ascii="微软雅黑" w:hAnsi="微软雅黑" w:eastAsia="微软雅黑" w:cs="Times New Roman"/>
          <w:b/>
          <w:bCs/>
          <w:sz w:val="18"/>
          <w:szCs w:val="18"/>
        </w:rPr>
      </w:pPr>
      <w:bookmarkStart w:id="0" w:name="_GoBack"/>
      <w:bookmarkEnd w:id="0"/>
      <w:r>
        <w:rPr>
          <w:rFonts w:hint="eastAsia" w:ascii="微软雅黑" w:hAnsi="微软雅黑" w:eastAsia="微软雅黑" w:cs="宋体"/>
          <w:b/>
          <w:bCs/>
          <w:sz w:val="18"/>
          <w:szCs w:val="18"/>
        </w:rPr>
        <w:t xml:space="preserve"> </w:t>
      </w:r>
      <w:r>
        <w:rPr>
          <w:rFonts w:ascii="微软雅黑" w:hAnsi="微软雅黑" w:eastAsia="微软雅黑" w:cs="宋体"/>
          <w:b/>
          <w:bCs/>
          <w:sz w:val="18"/>
          <w:szCs w:val="18"/>
        </w:rPr>
        <w:t xml:space="preserve">  </w:t>
      </w:r>
      <w:r>
        <w:rPr>
          <w:rFonts w:hint="eastAsia" w:ascii="微软雅黑" w:hAnsi="微软雅黑" w:eastAsia="微软雅黑" w:cs="宋体"/>
          <w:b/>
          <w:bCs/>
          <w:sz w:val="18"/>
          <w:szCs w:val="18"/>
        </w:rPr>
        <w:t>交易开拓者（</w:t>
      </w:r>
      <w:r>
        <w:rPr>
          <w:rFonts w:ascii="微软雅黑" w:hAnsi="微软雅黑" w:eastAsia="微软雅黑" w:cs="宋体"/>
          <w:b/>
          <w:bCs/>
          <w:sz w:val="18"/>
          <w:szCs w:val="18"/>
        </w:rPr>
        <w:t>TB</w:t>
      </w:r>
      <w:r>
        <w:rPr>
          <w:rFonts w:hint="eastAsia" w:ascii="微软雅黑" w:hAnsi="微软雅黑" w:eastAsia="微软雅黑" w:cs="宋体"/>
          <w:b/>
          <w:bCs/>
          <w:sz w:val="18"/>
          <w:szCs w:val="18"/>
        </w:rPr>
        <w:t>）软件交易</w:t>
      </w:r>
      <w:r>
        <w:rPr>
          <w:rFonts w:ascii="微软雅黑" w:hAnsi="微软雅黑" w:eastAsia="微软雅黑" w:cs="宋体"/>
          <w:b/>
          <w:bCs/>
          <w:sz w:val="18"/>
          <w:szCs w:val="18"/>
        </w:rPr>
        <w:t>开通</w:t>
      </w:r>
      <w:r>
        <w:rPr>
          <w:rFonts w:hint="eastAsia" w:ascii="微软雅黑" w:hAnsi="微软雅黑" w:eastAsia="微软雅黑" w:cs="宋体"/>
          <w:b/>
          <w:bCs/>
          <w:sz w:val="18"/>
          <w:szCs w:val="18"/>
        </w:rPr>
        <w:t>申请表（期货渠道专用</w:t>
      </w:r>
      <w:r>
        <w:rPr>
          <w:rFonts w:ascii="微软雅黑" w:hAnsi="微软雅黑" w:eastAsia="微软雅黑" w:cs="宋体"/>
          <w:b/>
          <w:bCs/>
          <w:sz w:val="18"/>
          <w:szCs w:val="18"/>
        </w:rPr>
        <w:t>）</w:t>
      </w:r>
    </w:p>
    <w:tbl>
      <w:tblPr>
        <w:tblStyle w:val="2"/>
        <w:tblW w:w="978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837"/>
        <w:gridCol w:w="1134"/>
        <w:gridCol w:w="1701"/>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00" w:type="dxa"/>
            <w:vAlign w:val="center"/>
          </w:tcPr>
          <w:p>
            <w:pPr>
              <w:jc w:val="center"/>
              <w:rPr>
                <w:rFonts w:ascii="微软雅黑" w:hAnsi="微软雅黑" w:eastAsia="微软雅黑" w:cs="Calibri"/>
                <w:b/>
                <w:bCs/>
                <w:sz w:val="18"/>
                <w:szCs w:val="18"/>
              </w:rPr>
            </w:pPr>
            <w:r>
              <w:rPr>
                <w:rFonts w:hint="eastAsia" w:ascii="微软雅黑" w:hAnsi="微软雅黑" w:eastAsia="微软雅黑" w:cs="宋体"/>
                <w:b/>
                <w:bCs/>
                <w:sz w:val="18"/>
                <w:szCs w:val="18"/>
              </w:rPr>
              <w:t>期货账户所有</w:t>
            </w:r>
            <w:r>
              <w:rPr>
                <w:rFonts w:ascii="微软雅黑" w:hAnsi="微软雅黑" w:eastAsia="微软雅黑" w:cs="宋体"/>
                <w:b/>
                <w:bCs/>
                <w:sz w:val="18"/>
                <w:szCs w:val="18"/>
              </w:rPr>
              <w:t>人</w:t>
            </w:r>
          </w:p>
        </w:tc>
        <w:tc>
          <w:tcPr>
            <w:tcW w:w="2837" w:type="dxa"/>
            <w:vAlign w:val="center"/>
          </w:tcPr>
          <w:p>
            <w:pPr>
              <w:jc w:val="center"/>
              <w:rPr>
                <w:rFonts w:ascii="微软雅黑" w:hAnsi="微软雅黑" w:eastAsia="微软雅黑" w:cs="Calibri"/>
                <w:b/>
                <w:sz w:val="18"/>
                <w:szCs w:val="18"/>
              </w:rPr>
            </w:pPr>
          </w:p>
        </w:tc>
        <w:tc>
          <w:tcPr>
            <w:tcW w:w="1134" w:type="dxa"/>
            <w:vAlign w:val="center"/>
          </w:tcPr>
          <w:p>
            <w:pPr>
              <w:jc w:val="center"/>
              <w:rPr>
                <w:rFonts w:ascii="微软雅黑" w:hAnsi="微软雅黑" w:eastAsia="微软雅黑" w:cs="Calibri"/>
                <w:b/>
                <w:sz w:val="18"/>
                <w:szCs w:val="18"/>
              </w:rPr>
            </w:pPr>
            <w:r>
              <w:rPr>
                <w:rFonts w:hint="eastAsia" w:ascii="微软雅黑" w:hAnsi="微软雅黑" w:eastAsia="微软雅黑" w:cs="Calibri"/>
                <w:b/>
                <w:sz w:val="18"/>
                <w:szCs w:val="18"/>
              </w:rPr>
              <w:t>手机号*</w:t>
            </w:r>
          </w:p>
        </w:tc>
        <w:tc>
          <w:tcPr>
            <w:tcW w:w="1701" w:type="dxa"/>
            <w:vAlign w:val="center"/>
          </w:tcPr>
          <w:p>
            <w:pPr>
              <w:jc w:val="center"/>
              <w:rPr>
                <w:rFonts w:ascii="微软雅黑" w:hAnsi="微软雅黑" w:eastAsia="微软雅黑" w:cs="Calibri"/>
                <w:b/>
                <w:sz w:val="18"/>
                <w:szCs w:val="18"/>
              </w:rPr>
            </w:pPr>
          </w:p>
        </w:tc>
        <w:tc>
          <w:tcPr>
            <w:tcW w:w="850" w:type="dxa"/>
            <w:vAlign w:val="center"/>
          </w:tcPr>
          <w:p>
            <w:pPr>
              <w:jc w:val="center"/>
              <w:rPr>
                <w:rFonts w:ascii="微软雅黑" w:hAnsi="微软雅黑" w:eastAsia="微软雅黑" w:cs="Calibri"/>
                <w:b/>
                <w:bCs/>
                <w:sz w:val="18"/>
                <w:szCs w:val="18"/>
              </w:rPr>
            </w:pPr>
            <w:r>
              <w:rPr>
                <w:rFonts w:hint="eastAsia" w:ascii="微软雅黑" w:hAnsi="微软雅黑" w:eastAsia="微软雅黑" w:cs="Calibri"/>
                <w:b/>
                <w:sz w:val="18"/>
                <w:szCs w:val="18"/>
              </w:rPr>
              <w:t>QQ</w:t>
            </w:r>
            <w:r>
              <w:rPr>
                <w:rFonts w:hint="eastAsia" w:ascii="微软雅黑" w:hAnsi="微软雅黑" w:eastAsia="微软雅黑" w:cs="宋体"/>
                <w:b/>
                <w:bCs/>
                <w:sz w:val="18"/>
                <w:szCs w:val="18"/>
              </w:rPr>
              <w:t xml:space="preserve"> </w:t>
            </w:r>
          </w:p>
        </w:tc>
        <w:tc>
          <w:tcPr>
            <w:tcW w:w="1560" w:type="dxa"/>
            <w:vAlign w:val="center"/>
          </w:tcPr>
          <w:p>
            <w:pPr>
              <w:jc w:val="center"/>
              <w:rPr>
                <w:rFonts w:ascii="微软雅黑" w:hAnsi="微软雅黑" w:eastAsia="微软雅黑" w:cs="Calibr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00" w:type="dxa"/>
            <w:vAlign w:val="center"/>
          </w:tcPr>
          <w:p>
            <w:pPr>
              <w:jc w:val="center"/>
              <w:rPr>
                <w:rFonts w:ascii="微软雅黑" w:hAnsi="微软雅黑" w:eastAsia="微软雅黑" w:cs="Calibri"/>
                <w:b/>
                <w:bCs/>
                <w:sz w:val="18"/>
                <w:szCs w:val="18"/>
              </w:rPr>
            </w:pPr>
            <w:r>
              <w:rPr>
                <w:rFonts w:hint="eastAsia" w:ascii="微软雅黑" w:hAnsi="微软雅黑" w:eastAsia="微软雅黑" w:cs="宋体"/>
                <w:b/>
                <w:bCs/>
                <w:sz w:val="18"/>
                <w:szCs w:val="18"/>
              </w:rPr>
              <w:t>开拓者软件账户</w:t>
            </w:r>
          </w:p>
        </w:tc>
        <w:tc>
          <w:tcPr>
            <w:tcW w:w="2837" w:type="dxa"/>
          </w:tcPr>
          <w:p>
            <w:pPr>
              <w:spacing w:before="156" w:beforeLines="50" w:after="156" w:afterLines="50" w:line="240" w:lineRule="exact"/>
              <w:rPr>
                <w:rFonts w:ascii="微软雅黑" w:hAnsi="微软雅黑" w:eastAsia="微软雅黑" w:cs="Calibri"/>
                <w:sz w:val="18"/>
                <w:szCs w:val="18"/>
              </w:rPr>
            </w:pPr>
          </w:p>
        </w:tc>
        <w:tc>
          <w:tcPr>
            <w:tcW w:w="5245" w:type="dxa"/>
            <w:gridSpan w:val="4"/>
          </w:tcPr>
          <w:p>
            <w:pPr>
              <w:spacing w:before="156" w:beforeLines="50" w:after="156" w:afterLines="50" w:line="240" w:lineRule="exact"/>
              <w:rPr>
                <w:rFonts w:ascii="微软雅黑" w:hAnsi="微软雅黑" w:eastAsia="微软雅黑" w:cs="Calibri"/>
                <w:sz w:val="18"/>
                <w:szCs w:val="18"/>
              </w:rPr>
            </w:pPr>
            <w:r>
              <w:rPr>
                <w:rFonts w:hint="eastAsia" w:ascii="微软雅黑" w:hAnsi="微软雅黑" w:eastAsia="微软雅黑" w:cs="宋体"/>
                <w:sz w:val="18"/>
                <w:szCs w:val="18"/>
              </w:rPr>
              <w:t>（注：可在</w:t>
            </w:r>
            <w:r>
              <w:rPr>
                <w:rFonts w:ascii="微软雅黑" w:hAnsi="微软雅黑" w:eastAsia="微软雅黑" w:cs="宋体"/>
                <w:sz w:val="18"/>
                <w:szCs w:val="18"/>
              </w:rPr>
              <w:t>客户端登录界面注册，或在</w:t>
            </w:r>
            <w:r>
              <w:fldChar w:fldCharType="begin"/>
            </w:r>
            <w:r>
              <w:instrText xml:space="preserve"> HYPERLINK "http://www.tb18.net" </w:instrText>
            </w:r>
            <w:r>
              <w:fldChar w:fldCharType="separate"/>
            </w:r>
            <w:r>
              <w:rPr>
                <w:rFonts w:ascii="微软雅黑" w:hAnsi="微软雅黑" w:eastAsia="微软雅黑" w:cs="宋体"/>
                <w:sz w:val="18"/>
                <w:szCs w:val="18"/>
              </w:rPr>
              <w:t>www</w:t>
            </w:r>
            <w:r>
              <w:rPr>
                <w:rFonts w:hint="eastAsia" w:ascii="微软雅黑" w:hAnsi="微软雅黑" w:eastAsia="微软雅黑" w:cs="宋体"/>
                <w:sz w:val="18"/>
                <w:szCs w:val="18"/>
              </w:rPr>
              <w:t>.tb18.net</w:t>
            </w:r>
            <w:r>
              <w:rPr>
                <w:rFonts w:hint="eastAsia" w:ascii="微软雅黑" w:hAnsi="微软雅黑" w:eastAsia="微软雅黑" w:cs="宋体"/>
                <w:sz w:val="18"/>
                <w:szCs w:val="18"/>
              </w:rPr>
              <w:fldChar w:fldCharType="end"/>
            </w:r>
            <w:r>
              <w:rPr>
                <w:rFonts w:ascii="微软雅黑" w:hAnsi="微软雅黑" w:eastAsia="微软雅黑" w:cs="宋体"/>
                <w:sz w:val="18"/>
                <w:szCs w:val="18"/>
              </w:rPr>
              <w:t>注册</w:t>
            </w:r>
            <w:r>
              <w:rPr>
                <w:rFonts w:hint="eastAsia" w:ascii="微软雅黑" w:hAnsi="微软雅黑" w:eastAsia="微软雅黑"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00"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期货</w:t>
            </w:r>
            <w:r>
              <w:rPr>
                <w:rFonts w:ascii="微软雅黑" w:hAnsi="微软雅黑" w:eastAsia="微软雅黑" w:cs="宋体"/>
                <w:b/>
                <w:bCs/>
                <w:sz w:val="18"/>
                <w:szCs w:val="18"/>
              </w:rPr>
              <w:t>账</w:t>
            </w:r>
            <w:r>
              <w:rPr>
                <w:rFonts w:hint="eastAsia" w:ascii="微软雅黑" w:hAnsi="微软雅黑" w:eastAsia="微软雅黑" w:cs="宋体"/>
                <w:b/>
                <w:bCs/>
                <w:sz w:val="18"/>
                <w:szCs w:val="18"/>
              </w:rPr>
              <w:t>号</w:t>
            </w:r>
          </w:p>
        </w:tc>
        <w:tc>
          <w:tcPr>
            <w:tcW w:w="2837" w:type="dxa"/>
          </w:tcPr>
          <w:p>
            <w:pPr>
              <w:spacing w:before="156" w:beforeLines="50" w:after="156" w:afterLines="50" w:line="240" w:lineRule="exact"/>
              <w:rPr>
                <w:rFonts w:ascii="微软雅黑" w:hAnsi="微软雅黑" w:eastAsia="微软雅黑" w:cs="宋体"/>
                <w:sz w:val="18"/>
                <w:szCs w:val="18"/>
              </w:rPr>
            </w:pPr>
          </w:p>
        </w:tc>
        <w:tc>
          <w:tcPr>
            <w:tcW w:w="1134" w:type="dxa"/>
          </w:tcPr>
          <w:p>
            <w:pPr>
              <w:spacing w:before="156" w:beforeLines="50" w:after="156" w:afterLines="50" w:line="240" w:lineRule="exact"/>
              <w:ind w:firstLine="90" w:firstLineChars="50"/>
              <w:rPr>
                <w:rFonts w:ascii="微软雅黑" w:hAnsi="微软雅黑" w:eastAsia="微软雅黑" w:cs="宋体"/>
                <w:b/>
                <w:sz w:val="18"/>
                <w:szCs w:val="18"/>
              </w:rPr>
            </w:pPr>
            <w:r>
              <w:rPr>
                <w:rFonts w:hint="eastAsia" w:ascii="微软雅黑" w:hAnsi="微软雅黑" w:eastAsia="微软雅黑" w:cs="宋体"/>
                <w:b/>
                <w:sz w:val="18"/>
                <w:szCs w:val="18"/>
              </w:rPr>
              <w:t>期货</w:t>
            </w:r>
            <w:r>
              <w:rPr>
                <w:rFonts w:ascii="微软雅黑" w:hAnsi="微软雅黑" w:eastAsia="微软雅黑" w:cs="宋体"/>
                <w:b/>
                <w:sz w:val="18"/>
                <w:szCs w:val="18"/>
              </w:rPr>
              <w:t>公司</w:t>
            </w:r>
          </w:p>
        </w:tc>
        <w:tc>
          <w:tcPr>
            <w:tcW w:w="4111" w:type="dxa"/>
            <w:gridSpan w:val="3"/>
          </w:tcPr>
          <w:p>
            <w:pPr>
              <w:spacing w:before="156" w:beforeLines="50" w:after="156" w:afterLines="50" w:line="240" w:lineRule="exact"/>
              <w:rPr>
                <w:rFonts w:ascii="微软雅黑" w:hAnsi="微软雅黑" w:eastAsia="微软雅黑"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00"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柜台系统</w:t>
            </w:r>
          </w:p>
        </w:tc>
        <w:tc>
          <w:tcPr>
            <w:tcW w:w="8082" w:type="dxa"/>
            <w:gridSpan w:val="5"/>
          </w:tcPr>
          <w:p>
            <w:pPr>
              <w:spacing w:before="156" w:beforeLines="50" w:after="156" w:afterLines="50" w:line="240" w:lineRule="exact"/>
              <w:ind w:left="19"/>
              <w:rPr>
                <w:rFonts w:ascii="微软雅黑" w:hAnsi="微软雅黑" w:eastAsia="微软雅黑" w:cs="宋体"/>
                <w:sz w:val="18"/>
                <w:szCs w:val="18"/>
                <w:u w:val="single"/>
              </w:rPr>
            </w:pPr>
            <w:r>
              <w:rPr>
                <w:rFonts w:hint="eastAsia" w:ascii="微软雅黑" w:hAnsi="微软雅黑" w:eastAsia="微软雅黑" w:cs="宋体"/>
                <w:sz w:val="18"/>
                <w:szCs w:val="18"/>
              </w:rPr>
              <w:t>□恒生 □金仕达</w:t>
            </w:r>
            <w:r>
              <w:rPr>
                <w:rFonts w:ascii="微软雅黑" w:hAnsi="微软雅黑" w:eastAsia="微软雅黑" w:cs="宋体"/>
                <w:sz w:val="18"/>
                <w:szCs w:val="18"/>
              </w:rPr>
              <w:t xml:space="preserve"> </w:t>
            </w:r>
            <w:r>
              <w:rPr>
                <w:rFonts w:hint="eastAsia" w:ascii="微软雅黑" w:hAnsi="微软雅黑" w:eastAsia="微软雅黑" w:cs="宋体"/>
                <w:sz w:val="18"/>
                <w:szCs w:val="18"/>
              </w:rPr>
              <w:t>□CTP □飞马 □其他</w:t>
            </w:r>
            <w:r>
              <w:rPr>
                <w:rFonts w:hint="eastAsia" w:ascii="微软雅黑" w:hAnsi="微软雅黑" w:eastAsia="微软雅黑" w:cs="宋体"/>
                <w:sz w:val="18"/>
                <w:szCs w:val="18"/>
                <w:u w:val="single"/>
              </w:rPr>
              <w:t xml:space="preserve">                </w:t>
            </w:r>
            <w:r>
              <w:rPr>
                <w:rFonts w:hint="eastAsia" w:ascii="微软雅黑" w:hAnsi="微软雅黑" w:eastAsia="微软雅黑" w:cs="宋体"/>
                <w:sz w:val="18"/>
                <w:szCs w:val="18"/>
              </w:rPr>
              <w:t>（</w:t>
            </w:r>
            <w:r>
              <w:rPr>
                <w:rFonts w:hint="eastAsia" w:ascii="微软雅黑" w:hAnsi="微软雅黑" w:eastAsia="微软雅黑" w:cs="宋体"/>
                <w:b/>
                <w:sz w:val="18"/>
                <w:szCs w:val="18"/>
              </w:rPr>
              <w:t>资管系统请期货公司注意确认栏）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exact"/>
        </w:trPr>
        <w:tc>
          <w:tcPr>
            <w:tcW w:w="1700"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申请开通权限</w:t>
            </w:r>
          </w:p>
        </w:tc>
        <w:tc>
          <w:tcPr>
            <w:tcW w:w="8082" w:type="dxa"/>
            <w:gridSpan w:val="5"/>
          </w:tcPr>
          <w:p>
            <w:pPr>
              <w:pStyle w:val="4"/>
              <w:spacing w:before="156" w:beforeLines="50" w:after="156" w:afterLines="50" w:line="200" w:lineRule="exact"/>
              <w:ind w:firstLine="0" w:firstLineChars="0"/>
              <w:rPr>
                <w:rFonts w:ascii="微软雅黑" w:hAnsi="微软雅黑" w:eastAsia="微软雅黑"/>
                <w:sz w:val="18"/>
                <w:szCs w:val="18"/>
              </w:rPr>
            </w:pPr>
            <w:r>
              <w:rPr>
                <w:rFonts w:hint="eastAsia" w:ascii="微软雅黑" w:hAnsi="微软雅黑" w:eastAsia="微软雅黑" w:cstheme="minorBidi"/>
                <w:b/>
                <w:sz w:val="28"/>
                <w:szCs w:val="28"/>
              </w:rPr>
              <w:t xml:space="preserve">□ </w:t>
            </w:r>
            <w:r>
              <w:rPr>
                <w:rFonts w:ascii="微软雅黑" w:hAnsi="微软雅黑" w:eastAsia="微软雅黑" w:cstheme="minorBidi"/>
                <w:b/>
                <w:sz w:val="16"/>
                <w:szCs w:val="16"/>
              </w:rPr>
              <w:t>开拓者量化平台（TBQuant）</w:t>
            </w:r>
            <w:r>
              <w:rPr>
                <w:rFonts w:hint="eastAsia" w:ascii="微软雅黑" w:hAnsi="微软雅黑" w:eastAsia="微软雅黑"/>
                <w:b/>
                <w:sz w:val="16"/>
                <w:szCs w:val="16"/>
              </w:rPr>
              <w:t>：</w:t>
            </w:r>
            <w:r>
              <w:rPr>
                <w:rFonts w:hint="eastAsia" w:ascii="微软雅黑" w:hAnsi="微软雅黑" w:eastAsia="微软雅黑" w:cs="宋体"/>
                <w:sz w:val="16"/>
                <w:szCs w:val="18"/>
              </w:rPr>
              <w:t>标准费率是按</w:t>
            </w:r>
            <w:r>
              <w:rPr>
                <w:rFonts w:ascii="微软雅黑" w:hAnsi="微软雅黑" w:eastAsia="微软雅黑" w:cs="宋体"/>
                <w:sz w:val="16"/>
                <w:szCs w:val="18"/>
              </w:rPr>
              <w:t>交易所手续费标准的</w:t>
            </w:r>
            <w:r>
              <w:rPr>
                <w:rFonts w:hint="eastAsia" w:ascii="微软雅黑" w:hAnsi="微软雅黑" w:eastAsia="微软雅黑" w:cs="宋体"/>
                <w:sz w:val="16"/>
                <w:szCs w:val="18"/>
              </w:rPr>
              <w:t>25</w:t>
            </w:r>
            <w:r>
              <w:rPr>
                <w:rFonts w:ascii="微软雅黑" w:hAnsi="微软雅黑" w:eastAsia="微软雅黑" w:cs="宋体"/>
                <w:sz w:val="16"/>
                <w:szCs w:val="18"/>
              </w:rPr>
              <w:t>%收取</w:t>
            </w:r>
            <w:r>
              <w:rPr>
                <w:rFonts w:hint="eastAsia" w:ascii="微软雅黑" w:hAnsi="微软雅黑" w:eastAsia="微软雅黑" w:cs="宋体"/>
                <w:sz w:val="16"/>
                <w:szCs w:val="18"/>
              </w:rPr>
              <w:t>；支持程序化交易，是所有T</w:t>
            </w:r>
            <w:r>
              <w:rPr>
                <w:rFonts w:ascii="微软雅黑" w:hAnsi="微软雅黑" w:eastAsia="微软雅黑" w:cs="宋体"/>
                <w:sz w:val="16"/>
                <w:szCs w:val="18"/>
              </w:rPr>
              <w:t>B</w:t>
            </w:r>
            <w:r>
              <w:rPr>
                <w:rFonts w:hint="eastAsia" w:ascii="微软雅黑" w:hAnsi="微软雅黑" w:eastAsia="微软雅黑" w:cs="宋体"/>
                <w:sz w:val="16"/>
                <w:szCs w:val="18"/>
              </w:rPr>
              <w:t>经典软件的升级版本，</w:t>
            </w:r>
            <w:r>
              <w:rPr>
                <w:rFonts w:ascii="微软雅黑" w:hAnsi="微软雅黑" w:eastAsia="微软雅黑" w:cs="宋体"/>
                <w:sz w:val="16"/>
                <w:szCs w:val="18"/>
              </w:rPr>
              <w:t>依托其准确、快速、稳定的实时云行情和完整的全市场历史数据，以及涵盖基本面、宏观和金融统计数据的可自定义基础数据，既提供了策略编写、研究优化、回测评估、自动交易、风险监控等一整套量化服务，又能满足专业投资者实时看盘、多种交易模式手动、半自动下单的要求</w:t>
            </w:r>
            <w:r>
              <w:rPr>
                <w:rFonts w:hint="eastAsia" w:ascii="微软雅黑" w:hAnsi="微软雅黑" w:eastAsia="微软雅黑" w:cs="宋体"/>
                <w:sz w:val="16"/>
                <w:szCs w:val="18"/>
              </w:rPr>
              <w:t>，还提供了多种特色工具。</w:t>
            </w:r>
          </w:p>
          <w:p>
            <w:pPr>
              <w:spacing w:before="156" w:beforeLines="50" w:after="156" w:afterLines="50" w:line="200" w:lineRule="exact"/>
              <w:rPr>
                <w:rFonts w:ascii="微软雅黑" w:hAnsi="微软雅黑" w:eastAsia="微软雅黑"/>
                <w:sz w:val="18"/>
                <w:szCs w:val="18"/>
              </w:rPr>
            </w:pPr>
            <w:r>
              <w:rPr>
                <w:rFonts w:hint="eastAsia" w:ascii="微软雅黑" w:hAnsi="微软雅黑" w:eastAsia="微软雅黑"/>
                <w:b/>
                <w:sz w:val="28"/>
                <w:szCs w:val="28"/>
              </w:rPr>
              <w:t xml:space="preserve">□ </w:t>
            </w:r>
            <w:r>
              <w:rPr>
                <w:rFonts w:hint="eastAsia" w:ascii="微软雅黑" w:hAnsi="微软雅黑" w:eastAsia="微软雅黑"/>
                <w:b/>
                <w:sz w:val="16"/>
                <w:szCs w:val="16"/>
              </w:rPr>
              <w:t>旗舰版（TB）：</w:t>
            </w:r>
            <w:r>
              <w:rPr>
                <w:rFonts w:hint="eastAsia" w:ascii="微软雅黑" w:hAnsi="微软雅黑" w:eastAsia="微软雅黑" w:cs="宋体"/>
                <w:sz w:val="16"/>
                <w:szCs w:val="18"/>
              </w:rPr>
              <w:t>标准费率是按</w:t>
            </w:r>
            <w:r>
              <w:rPr>
                <w:rFonts w:ascii="微软雅黑" w:hAnsi="微软雅黑" w:eastAsia="微软雅黑" w:cs="宋体"/>
                <w:sz w:val="16"/>
                <w:szCs w:val="18"/>
              </w:rPr>
              <w:t>交易所手续费标准的</w:t>
            </w:r>
            <w:r>
              <w:rPr>
                <w:rFonts w:hint="eastAsia" w:ascii="微软雅黑" w:hAnsi="微软雅黑" w:eastAsia="微软雅黑" w:cs="宋体"/>
                <w:sz w:val="16"/>
                <w:szCs w:val="18"/>
              </w:rPr>
              <w:t>25</w:t>
            </w:r>
            <w:r>
              <w:rPr>
                <w:rFonts w:ascii="微软雅黑" w:hAnsi="微软雅黑" w:eastAsia="微软雅黑" w:cs="宋体"/>
                <w:sz w:val="16"/>
                <w:szCs w:val="18"/>
              </w:rPr>
              <w:t>%收取</w:t>
            </w:r>
            <w:r>
              <w:rPr>
                <w:rFonts w:hint="eastAsia" w:ascii="微软雅黑" w:hAnsi="微软雅黑" w:eastAsia="微软雅黑" w:cs="宋体"/>
                <w:sz w:val="16"/>
                <w:szCs w:val="18"/>
              </w:rPr>
              <w:t>；支持程序化交易，经典版本之一。</w:t>
            </w:r>
          </w:p>
          <w:p>
            <w:pPr>
              <w:spacing w:before="156" w:beforeLines="50" w:after="156" w:afterLines="50" w:line="200" w:lineRule="exact"/>
              <w:rPr>
                <w:rFonts w:ascii="微软雅黑" w:hAnsi="微软雅黑" w:eastAsia="微软雅黑"/>
                <w:sz w:val="18"/>
                <w:szCs w:val="18"/>
              </w:rPr>
            </w:pPr>
            <w:r>
              <w:rPr>
                <w:rFonts w:hint="eastAsia" w:ascii="微软雅黑" w:hAnsi="微软雅黑" w:eastAsia="微软雅黑"/>
                <w:b/>
                <w:sz w:val="28"/>
                <w:szCs w:val="28"/>
              </w:rPr>
              <w:t xml:space="preserve">□ </w:t>
            </w:r>
            <w:r>
              <w:rPr>
                <w:rFonts w:hint="eastAsia" w:ascii="微软雅黑" w:hAnsi="微软雅黑" w:eastAsia="微软雅黑"/>
                <w:b/>
                <w:sz w:val="16"/>
                <w:szCs w:val="16"/>
              </w:rPr>
              <w:t>极速版（TB-plus）：</w:t>
            </w:r>
            <w:r>
              <w:rPr>
                <w:rFonts w:hint="eastAsia" w:ascii="微软雅黑" w:hAnsi="微软雅黑" w:eastAsia="微软雅黑" w:cs="宋体"/>
                <w:sz w:val="16"/>
                <w:szCs w:val="18"/>
              </w:rPr>
              <w:t>标准费率是按</w:t>
            </w:r>
            <w:r>
              <w:rPr>
                <w:rFonts w:ascii="微软雅黑" w:hAnsi="微软雅黑" w:eastAsia="微软雅黑" w:cs="宋体"/>
                <w:sz w:val="16"/>
                <w:szCs w:val="18"/>
              </w:rPr>
              <w:t>交易所手续费标准的</w:t>
            </w:r>
            <w:r>
              <w:rPr>
                <w:rFonts w:hint="eastAsia" w:ascii="微软雅黑" w:hAnsi="微软雅黑" w:eastAsia="微软雅黑" w:cs="宋体"/>
                <w:sz w:val="16"/>
                <w:szCs w:val="18"/>
              </w:rPr>
              <w:t>25</w:t>
            </w:r>
            <w:r>
              <w:rPr>
                <w:rFonts w:ascii="微软雅黑" w:hAnsi="微软雅黑" w:eastAsia="微软雅黑" w:cs="宋体"/>
                <w:sz w:val="16"/>
                <w:szCs w:val="18"/>
              </w:rPr>
              <w:t>%收取</w:t>
            </w:r>
            <w:r>
              <w:rPr>
                <w:rFonts w:hint="eastAsia" w:ascii="微软雅黑" w:hAnsi="微软雅黑" w:eastAsia="微软雅黑" w:cs="宋体"/>
                <w:sz w:val="16"/>
                <w:szCs w:val="18"/>
              </w:rPr>
              <w:t>；支持程序化交易，经典版本之一。</w:t>
            </w:r>
            <w:r>
              <w:rPr>
                <w:rFonts w:ascii="微软雅黑" w:hAnsi="微软雅黑" w:eastAsia="微软雅黑" w:cs="宋体"/>
                <w:sz w:val="16"/>
                <w:szCs w:val="18"/>
              </w:rPr>
              <w:t xml:space="preserve"> </w:t>
            </w:r>
          </w:p>
          <w:p>
            <w:pPr>
              <w:spacing w:before="156" w:beforeLines="50" w:after="156" w:afterLines="50" w:line="200" w:lineRule="exact"/>
              <w:rPr>
                <w:rFonts w:ascii="微软雅黑" w:hAnsi="微软雅黑" w:eastAsia="微软雅黑" w:cs="Calibri"/>
                <w:sz w:val="16"/>
                <w:szCs w:val="18"/>
              </w:rPr>
            </w:pPr>
            <w:r>
              <w:rPr>
                <w:rFonts w:hint="eastAsia" w:ascii="微软雅黑" w:hAnsi="微软雅黑" w:eastAsia="微软雅黑" w:cs="宋体"/>
                <w:b/>
                <w:sz w:val="18"/>
                <w:szCs w:val="18"/>
              </w:rPr>
              <w:t>*</w:t>
            </w:r>
            <w:r>
              <w:rPr>
                <w:rFonts w:hint="eastAsia" w:ascii="微软雅黑" w:hAnsi="微软雅黑" w:eastAsia="微软雅黑" w:cs="宋体"/>
                <w:b/>
                <w:sz w:val="16"/>
                <w:szCs w:val="18"/>
              </w:rPr>
              <w:t>说明</w:t>
            </w:r>
            <w:r>
              <w:rPr>
                <w:rFonts w:hint="eastAsia" w:ascii="微软雅黑" w:hAnsi="微软雅黑" w:eastAsia="微软雅黑" w:cs="宋体"/>
                <w:sz w:val="16"/>
                <w:szCs w:val="18"/>
              </w:rPr>
              <w:t>：因经典版本后续不再开发更新，</w:t>
            </w:r>
            <w:r>
              <w:rPr>
                <w:rFonts w:hint="eastAsia" w:ascii="微软雅黑" w:hAnsi="微软雅黑" w:eastAsia="微软雅黑" w:cs="宋体"/>
                <w:b/>
                <w:sz w:val="16"/>
                <w:szCs w:val="18"/>
                <w:u w:val="single"/>
              </w:rPr>
              <w:t>建议开通</w:t>
            </w:r>
            <w:r>
              <w:rPr>
                <w:rFonts w:ascii="微软雅黑" w:hAnsi="微软雅黑" w:eastAsia="微软雅黑" w:cs="宋体"/>
                <w:b/>
                <w:sz w:val="16"/>
                <w:szCs w:val="18"/>
                <w:u w:val="single"/>
              </w:rPr>
              <w:t>开拓者量化平台（TBQuant）</w:t>
            </w:r>
            <w:r>
              <w:rPr>
                <w:rFonts w:hint="eastAsia" w:ascii="微软雅黑" w:hAnsi="微软雅黑" w:eastAsia="微软雅黑" w:cs="宋体"/>
                <w:sz w:val="16"/>
                <w:szCs w:val="18"/>
              </w:rPr>
              <w:t>，开通后如仍需使用经典版本，无需重新提交开通申请表，联系T</w:t>
            </w:r>
            <w:r>
              <w:rPr>
                <w:rFonts w:ascii="微软雅黑" w:hAnsi="微软雅黑" w:eastAsia="微软雅黑" w:cs="宋体"/>
                <w:sz w:val="16"/>
                <w:szCs w:val="18"/>
              </w:rPr>
              <w:t>B</w:t>
            </w:r>
            <w:r>
              <w:rPr>
                <w:rFonts w:hint="eastAsia" w:ascii="微软雅黑" w:hAnsi="微软雅黑" w:eastAsia="微软雅黑" w:cs="宋体"/>
                <w:sz w:val="16"/>
                <w:szCs w:val="18"/>
              </w:rPr>
              <w:t>客服即可开通。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0"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备 注</w:t>
            </w:r>
          </w:p>
        </w:tc>
        <w:tc>
          <w:tcPr>
            <w:tcW w:w="8082" w:type="dxa"/>
            <w:gridSpan w:val="5"/>
          </w:tcPr>
          <w:p>
            <w:pPr>
              <w:spacing w:before="156" w:beforeLines="50" w:after="156" w:afterLines="50" w:line="240" w:lineRule="exact"/>
              <w:rPr>
                <w:rFonts w:ascii="微软雅黑" w:hAnsi="微软雅黑" w:eastAsia="微软雅黑"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00" w:type="dxa"/>
            <w:vAlign w:val="center"/>
          </w:tcPr>
          <w:p>
            <w:pPr>
              <w:jc w:val="center"/>
              <w:rPr>
                <w:rFonts w:ascii="微软雅黑" w:hAnsi="微软雅黑" w:eastAsia="微软雅黑" w:cs="宋体"/>
                <w:b/>
                <w:bCs/>
                <w:sz w:val="18"/>
                <w:szCs w:val="18"/>
              </w:rPr>
            </w:pPr>
            <w:r>
              <w:rPr>
                <w:rFonts w:hint="eastAsia" w:ascii="微软雅黑" w:hAnsi="微软雅黑" w:eastAsia="微软雅黑" w:cs="宋体"/>
                <w:b/>
                <w:bCs/>
                <w:sz w:val="18"/>
                <w:szCs w:val="18"/>
              </w:rPr>
              <w:t>用户申请确认栏</w:t>
            </w:r>
          </w:p>
        </w:tc>
        <w:tc>
          <w:tcPr>
            <w:tcW w:w="8082" w:type="dxa"/>
            <w:gridSpan w:val="5"/>
          </w:tcPr>
          <w:p>
            <w:pPr>
              <w:numPr>
                <w:ilvl w:val="0"/>
                <w:numId w:val="1"/>
              </w:numPr>
              <w:spacing w:before="156" w:beforeLines="50" w:after="156" w:afterLines="50" w:line="180" w:lineRule="exact"/>
              <w:ind w:left="357" w:hanging="357"/>
              <w:rPr>
                <w:rFonts w:ascii="微软雅黑" w:hAnsi="微软雅黑" w:eastAsia="微软雅黑" w:cs="宋体"/>
                <w:sz w:val="16"/>
                <w:szCs w:val="18"/>
              </w:rPr>
            </w:pPr>
            <w:r>
              <w:rPr>
                <w:rFonts w:hint="eastAsia" w:ascii="微软雅黑" w:hAnsi="微软雅黑" w:eastAsia="微软雅黑" w:cs="宋体"/>
                <w:sz w:val="16"/>
                <w:szCs w:val="18"/>
              </w:rPr>
              <w:t>由于软件系统自身的复杂性，开拓者公司不保证所提供软件完全不存在潜在问题。申请人选择使用TB软件即表示接受软件错误和/或遗漏的存在。如发生交易异常，申请人应通过其他备用交易软件及时进行处理。开拓者公司对于直接、间接、特殊的、偶然的损失或损害；使用或无法使用TB软件进行交易和投资造成的盈亏；直接或间接引起的赔偿、损失、债务或是任何交易中止等均不承担赔偿责任。</w:t>
            </w:r>
          </w:p>
          <w:p>
            <w:pPr>
              <w:numPr>
                <w:ilvl w:val="0"/>
                <w:numId w:val="1"/>
              </w:numPr>
              <w:spacing w:before="156" w:beforeLines="50" w:after="156" w:afterLines="50" w:line="180" w:lineRule="exact"/>
              <w:ind w:left="357" w:hanging="357"/>
              <w:rPr>
                <w:rFonts w:ascii="微软雅黑" w:hAnsi="微软雅黑" w:eastAsia="微软雅黑" w:cs="宋体"/>
                <w:b/>
                <w:sz w:val="16"/>
                <w:szCs w:val="18"/>
                <w:u w:val="single"/>
              </w:rPr>
            </w:pPr>
            <w:r>
              <w:rPr>
                <w:rFonts w:hint="eastAsia" w:ascii="微软雅黑" w:hAnsi="微软雅黑" w:eastAsia="微软雅黑" w:cs="宋体"/>
                <w:b/>
                <w:sz w:val="16"/>
                <w:szCs w:val="18"/>
                <w:u w:val="single"/>
              </w:rPr>
              <w:t>自TB软件交易权限开通之日起，将基于该开通TB软件交易权限的期货账户所产生的全部交易量计收TB软件服务费，无论申请人是否全部或部分通过TB软件下单。</w:t>
            </w:r>
          </w:p>
          <w:p>
            <w:pPr>
              <w:numPr>
                <w:ilvl w:val="0"/>
                <w:numId w:val="1"/>
              </w:numPr>
              <w:spacing w:before="156" w:beforeLines="50" w:after="156" w:afterLines="50" w:line="180" w:lineRule="exact"/>
              <w:ind w:left="357" w:hanging="357"/>
              <w:rPr>
                <w:rFonts w:ascii="微软雅黑" w:hAnsi="微软雅黑" w:eastAsia="微软雅黑" w:cs="宋体"/>
                <w:sz w:val="16"/>
                <w:szCs w:val="18"/>
              </w:rPr>
            </w:pPr>
            <w:r>
              <w:rPr>
                <w:rFonts w:hint="eastAsia" w:ascii="微软雅黑" w:hAnsi="微软雅黑" w:eastAsia="微软雅黑" w:cs="宋体"/>
                <w:sz w:val="16"/>
                <w:szCs w:val="18"/>
              </w:rPr>
              <w:t>软件服务费起算日期以确认开户日期为准。如需停止使用本软件并停止计费，用户须填写并提交《交易开拓者（TB）软件交易销户申请表》。如账户连续三个月未产生TB软件服务费，TB有权对账户进行销户处理。</w:t>
            </w:r>
          </w:p>
          <w:p>
            <w:pPr>
              <w:numPr>
                <w:ilvl w:val="0"/>
                <w:numId w:val="1"/>
              </w:numPr>
              <w:spacing w:before="156" w:beforeLines="50" w:after="156" w:afterLines="50" w:line="180" w:lineRule="exact"/>
              <w:ind w:left="357" w:hanging="357"/>
              <w:rPr>
                <w:rFonts w:ascii="微软雅黑" w:hAnsi="微软雅黑" w:eastAsia="微软雅黑" w:cs="宋体"/>
                <w:sz w:val="16"/>
                <w:szCs w:val="18"/>
              </w:rPr>
            </w:pPr>
            <w:r>
              <w:rPr>
                <w:rFonts w:hint="eastAsia" w:ascii="微软雅黑" w:hAnsi="微软雅黑" w:eastAsia="微软雅黑" w:cs="宋体"/>
                <w:sz w:val="16"/>
                <w:szCs w:val="18"/>
              </w:rPr>
              <w:t>申请人授权开拓者公司基于TB软件费用结算需要查询申请人包括合同号、交易品种、成交价格和交易数量等信息，并授权开拓者公司向期货公司调取申请人月度总佣金、交易所总佣金、总成交金额、开拓者软件服务费金额、计费起止日期等信息作为费用结算的依据。申请人同意存在TB软件服务费结算争议时，开拓者公司有权向期货公司调取申请人交易结算单。</w:t>
            </w:r>
          </w:p>
          <w:p>
            <w:pPr>
              <w:numPr>
                <w:ilvl w:val="0"/>
                <w:numId w:val="1"/>
              </w:numPr>
              <w:spacing w:before="156" w:beforeLines="50" w:after="156" w:afterLines="50" w:line="180" w:lineRule="exact"/>
              <w:ind w:left="357" w:hanging="357"/>
              <w:rPr>
                <w:rFonts w:ascii="微软雅黑" w:hAnsi="微软雅黑" w:eastAsia="微软雅黑" w:cs="宋体"/>
                <w:sz w:val="16"/>
                <w:szCs w:val="18"/>
              </w:rPr>
            </w:pPr>
            <w:r>
              <w:rPr>
                <w:rFonts w:hint="eastAsia" w:ascii="微软雅黑" w:hAnsi="微软雅黑" w:eastAsia="微软雅黑" w:cs="宋体"/>
                <w:sz w:val="16"/>
                <w:szCs w:val="18"/>
              </w:rPr>
              <w:t>申请人知悉本表的手机号为必填项。如因申请人未能填写正确手机号，导致开拓者公司无法联系到申请人所造成的一切后果及损失由申请人自行承担。</w:t>
            </w:r>
          </w:p>
          <w:p>
            <w:pPr>
              <w:numPr>
                <w:ilvl w:val="0"/>
                <w:numId w:val="1"/>
              </w:numPr>
              <w:spacing w:before="156" w:beforeLines="50" w:after="156" w:afterLines="50" w:line="180" w:lineRule="exact"/>
              <w:ind w:left="357" w:hanging="357"/>
              <w:rPr>
                <w:rFonts w:ascii="微软雅黑" w:hAnsi="微软雅黑" w:eastAsia="微软雅黑" w:cs="宋体"/>
                <w:sz w:val="16"/>
                <w:szCs w:val="18"/>
              </w:rPr>
            </w:pPr>
            <w:r>
              <w:rPr>
                <w:rFonts w:hint="eastAsia" w:ascii="微软雅黑" w:hAnsi="微软雅黑" w:eastAsia="微软雅黑" w:cs="宋体"/>
                <w:sz w:val="16"/>
                <w:szCs w:val="18"/>
              </w:rPr>
              <w:t>申请人同意本表为开拓者公司与期货公司所签订的《交易开拓者软件服务合作合同》的组成部分。申请人知悉前述合同的变更将导致本表及开拓者公司与本人间权利义务的变更，如申请人在此情形下继续使用TB软件，视为申请人接受前述权利义务的变更。</w:t>
            </w:r>
          </w:p>
          <w:p>
            <w:pPr>
              <w:numPr>
                <w:ilvl w:val="0"/>
                <w:numId w:val="1"/>
              </w:numPr>
              <w:spacing w:before="156" w:beforeLines="50" w:after="156" w:afterLines="50" w:line="180" w:lineRule="exact"/>
              <w:ind w:left="357" w:hanging="357"/>
              <w:rPr>
                <w:rFonts w:ascii="微软雅黑" w:hAnsi="微软雅黑" w:eastAsia="微软雅黑" w:cs="宋体"/>
                <w:sz w:val="16"/>
                <w:szCs w:val="18"/>
              </w:rPr>
            </w:pPr>
            <w:r>
              <w:rPr>
                <w:rFonts w:hint="eastAsia" w:ascii="微软雅黑" w:hAnsi="微软雅黑" w:eastAsia="微软雅黑" w:cs="宋体"/>
                <w:sz w:val="16"/>
                <w:szCs w:val="18"/>
              </w:rPr>
              <w:t>申请人已阅读并理解上文的风险揭示，并自愿承担相应风险。现申请于</w:t>
            </w:r>
            <w:r>
              <w:rPr>
                <w:rFonts w:hint="eastAsia" w:ascii="微软雅黑" w:hAnsi="微软雅黑" w:eastAsia="微软雅黑" w:cs="宋体"/>
                <w:sz w:val="16"/>
                <w:szCs w:val="18"/>
                <w:u w:val="single"/>
              </w:rPr>
              <w:t>________</w:t>
            </w:r>
            <w:r>
              <w:rPr>
                <w:rFonts w:hint="eastAsia" w:ascii="微软雅黑" w:hAnsi="微软雅黑" w:eastAsia="微软雅黑" w:cs="宋体"/>
                <w:sz w:val="16"/>
                <w:szCs w:val="18"/>
              </w:rPr>
              <w:t>年</w:t>
            </w:r>
            <w:r>
              <w:rPr>
                <w:rFonts w:hint="eastAsia" w:ascii="微软雅黑" w:hAnsi="微软雅黑" w:eastAsia="微软雅黑" w:cs="宋体"/>
                <w:sz w:val="16"/>
                <w:szCs w:val="18"/>
                <w:u w:val="single"/>
              </w:rPr>
              <w:t>_ ___</w:t>
            </w:r>
            <w:r>
              <w:rPr>
                <w:rFonts w:hint="eastAsia" w:ascii="微软雅黑" w:hAnsi="微软雅黑" w:eastAsia="微软雅黑" w:cs="宋体"/>
                <w:sz w:val="16"/>
                <w:szCs w:val="18"/>
              </w:rPr>
              <w:t>月</w:t>
            </w:r>
            <w:r>
              <w:rPr>
                <w:rFonts w:hint="eastAsia" w:ascii="微软雅黑" w:hAnsi="微软雅黑" w:eastAsia="微软雅黑" w:cs="宋体"/>
                <w:sz w:val="16"/>
                <w:szCs w:val="18"/>
                <w:u w:val="single"/>
              </w:rPr>
              <w:t>_ ___</w:t>
            </w:r>
            <w:r>
              <w:rPr>
                <w:rFonts w:hint="eastAsia" w:ascii="微软雅黑" w:hAnsi="微软雅黑" w:eastAsia="微软雅黑" w:cs="宋体"/>
                <w:sz w:val="16"/>
                <w:szCs w:val="18"/>
              </w:rPr>
              <w:t>日收盘后，正式开通交易开拓者（TB）软件实盘账户交易权限。</w:t>
            </w:r>
          </w:p>
          <w:p>
            <w:pPr>
              <w:numPr>
                <w:ilvl w:val="0"/>
                <w:numId w:val="1"/>
              </w:numPr>
              <w:spacing w:before="156" w:beforeLines="50" w:after="156" w:afterLines="50" w:line="180" w:lineRule="exact"/>
              <w:rPr>
                <w:rFonts w:ascii="微软雅黑" w:hAnsi="微软雅黑" w:eastAsia="微软雅黑" w:cs="宋体"/>
                <w:sz w:val="16"/>
                <w:szCs w:val="18"/>
              </w:rPr>
            </w:pPr>
            <w:r>
              <w:rPr>
                <w:rFonts w:hint="eastAsia" w:ascii="微软雅黑" w:hAnsi="微软雅黑" w:eastAsia="微软雅黑" w:cs="宋体"/>
                <w:sz w:val="16"/>
                <w:szCs w:val="18"/>
              </w:rPr>
              <w:t>期货公司同意遵守与开拓者公司签订的《交易开拓者软件服务合作合同》的约定，为申请人提供相关服务。如申请人申请开通资管系统子账户的TB软件交易权限，期货公司保证该资管系统子账户为依法合规开立，并承诺于结算时如实向开拓者公司同时提供该资管子账户及其期货主账户的结算表，否则开拓者公司有权终止提供相关服务。</w:t>
            </w:r>
          </w:p>
          <w:p>
            <w:pPr>
              <w:spacing w:before="156" w:beforeLines="50" w:after="156" w:afterLines="50" w:line="220" w:lineRule="exact"/>
              <w:ind w:left="360"/>
              <w:rPr>
                <w:rFonts w:ascii="微软雅黑" w:hAnsi="微软雅黑" w:eastAsia="微软雅黑" w:cs="宋体"/>
                <w:sz w:val="18"/>
                <w:szCs w:val="18"/>
              </w:rPr>
            </w:pPr>
            <w:r>
              <w:rPr>
                <w:rFonts w:hint="eastAsia" w:ascii="微软雅黑" w:hAnsi="微软雅黑" w:eastAsia="微软雅黑" w:cs="宋体"/>
                <w:sz w:val="18"/>
                <w:szCs w:val="18"/>
              </w:rPr>
              <w:t xml:space="preserve">申请人签字：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w:t>
            </w:r>
            <w:r>
              <w:rPr>
                <w:rFonts w:ascii="微软雅黑" w:hAnsi="微软雅黑" w:eastAsia="微软雅黑" w:cs="宋体"/>
                <w:sz w:val="18"/>
                <w:szCs w:val="18"/>
              </w:rPr>
              <w:t xml:space="preserve">        </w:t>
            </w:r>
            <w:r>
              <w:rPr>
                <w:rFonts w:hint="eastAsia" w:ascii="微软雅黑" w:hAnsi="微软雅黑" w:eastAsia="微软雅黑" w:cs="宋体"/>
                <w:sz w:val="18"/>
                <w:szCs w:val="18"/>
              </w:rPr>
              <w:t xml:space="preserve"> 日期：       年     月     日</w:t>
            </w:r>
          </w:p>
          <w:p>
            <w:pPr>
              <w:spacing w:before="156" w:beforeLines="50" w:after="156" w:afterLines="50" w:line="220" w:lineRule="exact"/>
              <w:ind w:left="360"/>
              <w:rPr>
                <w:rFonts w:ascii="微软雅黑" w:hAnsi="微软雅黑" w:eastAsia="微软雅黑" w:cs="宋体"/>
                <w:sz w:val="18"/>
                <w:szCs w:val="18"/>
              </w:rPr>
            </w:pPr>
            <w:r>
              <w:rPr>
                <w:rFonts w:hint="eastAsia" w:ascii="微软雅黑" w:hAnsi="微软雅黑" w:eastAsia="微软雅黑" w:cs="宋体"/>
                <w:sz w:val="18"/>
                <w:szCs w:val="18"/>
              </w:rPr>
              <w:t xml:space="preserve">期货公司经办人签字/盖章：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700" w:type="dxa"/>
            <w:tcBorders>
              <w:top w:val="thickThinSmallGap" w:color="auto" w:sz="24" w:space="0"/>
            </w:tcBorders>
            <w:vAlign w:val="center"/>
          </w:tcPr>
          <w:p>
            <w:pPr>
              <w:jc w:val="center"/>
              <w:rPr>
                <w:rFonts w:ascii="微软雅黑" w:hAnsi="微软雅黑" w:eastAsia="微软雅黑" w:cs="Calibri"/>
                <w:b/>
                <w:bCs/>
                <w:sz w:val="18"/>
                <w:szCs w:val="18"/>
              </w:rPr>
            </w:pPr>
            <w:r>
              <w:rPr>
                <w:rFonts w:hint="eastAsia" w:ascii="微软雅黑" w:hAnsi="微软雅黑" w:eastAsia="微软雅黑" w:cs="Calibri"/>
                <w:b/>
                <w:bCs/>
                <w:sz w:val="18"/>
                <w:szCs w:val="18"/>
              </w:rPr>
              <w:t>开拓者</w:t>
            </w:r>
            <w:r>
              <w:rPr>
                <w:rFonts w:hint="eastAsia" w:ascii="微软雅黑" w:hAnsi="微软雅黑" w:eastAsia="微软雅黑" w:cs="宋体"/>
                <w:b/>
                <w:bCs/>
                <w:sz w:val="18"/>
                <w:szCs w:val="18"/>
              </w:rPr>
              <w:t>公司确认栏</w:t>
            </w:r>
          </w:p>
        </w:tc>
        <w:tc>
          <w:tcPr>
            <w:tcW w:w="8082" w:type="dxa"/>
            <w:gridSpan w:val="5"/>
            <w:tcBorders>
              <w:top w:val="thickThinSmallGap" w:color="auto" w:sz="24" w:space="0"/>
            </w:tcBorders>
          </w:tcPr>
          <w:p>
            <w:pPr>
              <w:spacing w:before="156" w:beforeLines="50" w:after="156" w:afterLines="50" w:line="180" w:lineRule="exact"/>
              <w:rPr>
                <w:rFonts w:ascii="微软雅黑" w:hAnsi="微软雅黑" w:eastAsia="微软雅黑" w:cs="宋体"/>
                <w:sz w:val="18"/>
                <w:szCs w:val="18"/>
              </w:rPr>
            </w:pPr>
            <w:r>
              <w:rPr>
                <w:rFonts w:ascii="仿宋" w:hAnsi="仿宋" w:eastAsia="仿宋" w:cs="Times New Roman"/>
                <w:b/>
                <w:bCs/>
                <w:szCs w:val="21"/>
              </w:rPr>
              <w:drawing>
                <wp:anchor distT="0" distB="0" distL="114300" distR="114300" simplePos="0" relativeHeight="251660288" behindDoc="0" locked="0" layoutInCell="1" allowOverlap="1">
                  <wp:simplePos x="0" y="0"/>
                  <wp:positionH relativeFrom="column">
                    <wp:posOffset>1899920</wp:posOffset>
                  </wp:positionH>
                  <wp:positionV relativeFrom="paragraph">
                    <wp:posOffset>246380</wp:posOffset>
                  </wp:positionV>
                  <wp:extent cx="548640" cy="525780"/>
                  <wp:effectExtent l="0" t="0" r="381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640" cy="525839"/>
                          </a:xfrm>
                          <a:prstGeom prst="rect">
                            <a:avLst/>
                          </a:prstGeom>
                        </pic:spPr>
                      </pic:pic>
                    </a:graphicData>
                  </a:graphic>
                </wp:anchor>
              </w:drawing>
            </w:r>
            <w:r>
              <w:rPr>
                <w:rFonts w:ascii="微软雅黑" w:hAnsi="微软雅黑" w:eastAsia="微软雅黑" w:cs="Times New Roman"/>
                <w:b/>
                <w:bCs/>
                <w:szCs w:val="21"/>
              </w:rPr>
              <w:drawing>
                <wp:anchor distT="0" distB="0" distL="114300" distR="114300" simplePos="0" relativeHeight="251659264" behindDoc="0" locked="0" layoutInCell="1" allowOverlap="1">
                  <wp:simplePos x="0" y="0"/>
                  <wp:positionH relativeFrom="column">
                    <wp:posOffset>485775</wp:posOffset>
                  </wp:positionH>
                  <wp:positionV relativeFrom="paragraph">
                    <wp:posOffset>221615</wp:posOffset>
                  </wp:positionV>
                  <wp:extent cx="588645" cy="567690"/>
                  <wp:effectExtent l="0" t="0" r="254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8397" cy="567751"/>
                          </a:xfrm>
                          <a:prstGeom prst="rect">
                            <a:avLst/>
                          </a:prstGeom>
                        </pic:spPr>
                      </pic:pic>
                    </a:graphicData>
                  </a:graphic>
                </wp:anchor>
              </w:drawing>
            </w:r>
            <w:r>
              <w:rPr>
                <w:rFonts w:ascii="微软雅黑" w:hAnsi="微软雅黑" w:eastAsia="微软雅黑" w:cs="宋体"/>
                <w:sz w:val="18"/>
                <w:szCs w:val="18"/>
              </w:rPr>
              <w:t>TB</w:t>
            </w:r>
            <w:r>
              <w:rPr>
                <w:rFonts w:hint="eastAsia" w:ascii="微软雅黑" w:hAnsi="微软雅黑" w:eastAsia="微软雅黑" w:cs="宋体"/>
                <w:sz w:val="18"/>
                <w:szCs w:val="18"/>
              </w:rPr>
              <w:t>网站</w:t>
            </w:r>
            <w:r>
              <w:rPr>
                <w:rFonts w:ascii="微软雅黑" w:hAnsi="微软雅黑" w:eastAsia="微软雅黑" w:cs="宋体"/>
                <w:sz w:val="18"/>
                <w:szCs w:val="18"/>
              </w:rPr>
              <w:t>：</w:t>
            </w:r>
            <w:r>
              <w:fldChar w:fldCharType="begin"/>
            </w:r>
            <w:r>
              <w:instrText xml:space="preserve"> HYPERLINK "http://www.tb18.net" </w:instrText>
            </w:r>
            <w:r>
              <w:fldChar w:fldCharType="separate"/>
            </w:r>
            <w:r>
              <w:rPr>
                <w:rFonts w:ascii="微软雅黑" w:hAnsi="微软雅黑" w:eastAsia="微软雅黑" w:cs="宋体"/>
                <w:sz w:val="18"/>
                <w:szCs w:val="18"/>
              </w:rPr>
              <w:t>www.tb18.net</w:t>
            </w:r>
            <w:r>
              <w:rPr>
                <w:rFonts w:ascii="微软雅黑" w:hAnsi="微软雅黑" w:eastAsia="微软雅黑" w:cs="宋体"/>
                <w:sz w:val="18"/>
                <w:szCs w:val="18"/>
              </w:rPr>
              <w:fldChar w:fldCharType="end"/>
            </w:r>
            <w:r>
              <w:rPr>
                <w:rFonts w:hint="eastAsia" w:ascii="微软雅黑" w:hAnsi="微软雅黑" w:eastAsia="微软雅黑" w:cs="宋体"/>
                <w:sz w:val="18"/>
                <w:szCs w:val="18"/>
              </w:rPr>
              <w:t xml:space="preserve"> </w:t>
            </w:r>
            <w:r>
              <w:rPr>
                <w:rFonts w:ascii="微软雅黑" w:hAnsi="微软雅黑" w:eastAsia="微软雅黑" w:cs="宋体"/>
                <w:sz w:val="18"/>
                <w:szCs w:val="18"/>
              </w:rPr>
              <w:t xml:space="preserve">     </w:t>
            </w:r>
            <w:r>
              <w:rPr>
                <w:rFonts w:hint="eastAsia" w:ascii="微软雅黑" w:hAnsi="微软雅黑" w:eastAsia="微软雅黑" w:cs="宋体"/>
                <w:sz w:val="18"/>
                <w:szCs w:val="18"/>
              </w:rPr>
              <w:t>电话：</w:t>
            </w:r>
            <w:r>
              <w:rPr>
                <w:rFonts w:ascii="微软雅黑" w:hAnsi="微软雅黑" w:eastAsia="微软雅黑" w:cs="Calibri"/>
                <w:sz w:val="18"/>
                <w:szCs w:val="18"/>
              </w:rPr>
              <w:t>0755-83410021</w:t>
            </w:r>
            <w:r>
              <w:rPr>
                <w:rFonts w:hint="eastAsia" w:ascii="微软雅黑" w:hAnsi="微软雅黑" w:eastAsia="微软雅黑" w:cs="宋体"/>
                <w:sz w:val="18"/>
                <w:szCs w:val="18"/>
              </w:rPr>
              <w:t xml:space="preserve">       传真：</w:t>
            </w:r>
            <w:r>
              <w:rPr>
                <w:rFonts w:ascii="微软雅黑" w:hAnsi="微软雅黑" w:eastAsia="微软雅黑" w:cs="Calibri"/>
                <w:sz w:val="18"/>
                <w:szCs w:val="18"/>
              </w:rPr>
              <w:t>0755-83417337</w:t>
            </w:r>
          </w:p>
          <w:p>
            <w:pPr>
              <w:spacing w:before="156" w:beforeLines="50" w:after="156" w:afterLines="50" w:line="240" w:lineRule="exact"/>
              <w:ind w:firstLine="5042" w:firstLineChars="2800"/>
              <w:rPr>
                <w:rFonts w:ascii="微软雅黑" w:hAnsi="微软雅黑" w:eastAsia="微软雅黑" w:cs="宋体"/>
                <w:b/>
                <w:sz w:val="18"/>
                <w:szCs w:val="18"/>
              </w:rPr>
            </w:pPr>
            <w:r>
              <w:rPr>
                <w:rFonts w:hint="eastAsia" w:ascii="微软雅黑" w:hAnsi="微软雅黑" w:eastAsia="微软雅黑" w:cs="宋体"/>
                <w:b/>
                <w:sz w:val="18"/>
                <w:szCs w:val="18"/>
              </w:rPr>
              <w:t>深圳开拓者</w:t>
            </w:r>
            <w:r>
              <w:rPr>
                <w:rFonts w:ascii="微软雅黑" w:hAnsi="微软雅黑" w:eastAsia="微软雅黑" w:cs="宋体"/>
                <w:b/>
                <w:sz w:val="18"/>
                <w:szCs w:val="18"/>
              </w:rPr>
              <w:t xml:space="preserve">科技有限公司                     </w:t>
            </w:r>
          </w:p>
          <w:p>
            <w:pPr>
              <w:spacing w:before="156" w:beforeLines="50" w:after="156" w:afterLines="50" w:line="240" w:lineRule="exact"/>
              <w:rPr>
                <w:rFonts w:ascii="微软雅黑" w:hAnsi="微软雅黑" w:eastAsia="微软雅黑" w:cs="宋体"/>
                <w:b/>
                <w:sz w:val="13"/>
                <w:szCs w:val="13"/>
              </w:rPr>
            </w:pPr>
          </w:p>
          <w:p>
            <w:pPr>
              <w:spacing w:before="156" w:beforeLines="50" w:after="156" w:afterLines="50" w:line="240" w:lineRule="exact"/>
              <w:ind w:firstLine="450" w:firstLineChars="300"/>
              <w:rPr>
                <w:rFonts w:ascii="微软雅黑" w:hAnsi="微软雅黑" w:eastAsia="微软雅黑" w:cs="Calibri"/>
                <w:sz w:val="13"/>
                <w:szCs w:val="13"/>
              </w:rPr>
            </w:pPr>
            <w:r>
              <w:rPr>
                <w:rFonts w:hint="eastAsia" w:ascii="微软雅黑" w:hAnsi="微软雅黑" w:eastAsia="微软雅黑" w:cs="宋体"/>
                <w:b/>
                <w:sz w:val="15"/>
                <w:szCs w:val="15"/>
              </w:rPr>
              <w:t>官方微信：交易</w:t>
            </w:r>
            <w:r>
              <w:rPr>
                <w:rFonts w:ascii="微软雅黑" w:hAnsi="微软雅黑" w:eastAsia="微软雅黑" w:cs="宋体"/>
                <w:b/>
                <w:sz w:val="15"/>
                <w:szCs w:val="15"/>
              </w:rPr>
              <w:t>开拓者</w:t>
            </w:r>
            <w:r>
              <w:rPr>
                <w:rFonts w:hint="eastAsia" w:ascii="微软雅黑" w:hAnsi="微软雅黑" w:eastAsia="微软雅黑" w:cs="宋体"/>
                <w:b/>
                <w:sz w:val="15"/>
                <w:szCs w:val="15"/>
              </w:rPr>
              <w:t xml:space="preserve">TB      </w:t>
            </w:r>
            <w:r>
              <w:rPr>
                <w:rFonts w:ascii="微软雅黑" w:hAnsi="微软雅黑" w:eastAsia="微软雅黑" w:cs="宋体"/>
                <w:b/>
                <w:sz w:val="15"/>
                <w:szCs w:val="15"/>
              </w:rPr>
              <w:t xml:space="preserve"> </w:t>
            </w:r>
            <w:r>
              <w:rPr>
                <w:rFonts w:hint="eastAsia" w:ascii="微软雅黑" w:hAnsi="微软雅黑" w:eastAsia="微软雅黑" w:cs="宋体"/>
                <w:b/>
                <w:sz w:val="15"/>
                <w:szCs w:val="15"/>
              </w:rPr>
              <w:t xml:space="preserve">官方微博：交易开拓者 </w:t>
            </w:r>
            <w:r>
              <w:rPr>
                <w:rFonts w:ascii="微软雅黑" w:hAnsi="微软雅黑" w:eastAsia="微软雅黑" w:cs="宋体"/>
                <w:b/>
                <w:sz w:val="13"/>
                <w:szCs w:val="13"/>
              </w:rPr>
              <w:t xml:space="preserve">            </w:t>
            </w:r>
            <w:r>
              <w:rPr>
                <w:rFonts w:hint="eastAsia" w:ascii="微软雅黑" w:hAnsi="微软雅黑" w:eastAsia="微软雅黑" w:cs="宋体"/>
                <w:b/>
                <w:sz w:val="18"/>
                <w:szCs w:val="18"/>
              </w:rPr>
              <w:t>日期：</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年</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 xml:space="preserve"> </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月</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 xml:space="preserve"> </w:t>
            </w:r>
            <w:r>
              <w:rPr>
                <w:rFonts w:ascii="微软雅黑" w:hAnsi="微软雅黑" w:eastAsia="微软雅黑" w:cs="宋体"/>
                <w:b/>
                <w:sz w:val="18"/>
                <w:szCs w:val="18"/>
              </w:rPr>
              <w:t xml:space="preserve"> </w:t>
            </w:r>
            <w:r>
              <w:rPr>
                <w:rFonts w:hint="eastAsia" w:ascii="微软雅黑" w:hAnsi="微软雅黑" w:eastAsia="微软雅黑" w:cs="宋体"/>
                <w:b/>
                <w:sz w:val="18"/>
                <w:szCs w:val="18"/>
              </w:rPr>
              <w:t>日</w:t>
            </w:r>
          </w:p>
        </w:tc>
      </w:tr>
    </w:tbl>
    <w:p>
      <w:pPr>
        <w:rPr>
          <w:rFonts w:hint="eastAsia"/>
        </w:rPr>
      </w:pPr>
    </w:p>
    <w:sectPr>
      <w:pgSz w:w="11906" w:h="16838"/>
      <w:pgMar w:top="986"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44286"/>
    <w:multiLevelType w:val="multilevel"/>
    <w:tmpl w:val="74D44286"/>
    <w:lvl w:ilvl="0" w:tentative="0">
      <w:start w:val="1"/>
      <w:numFmt w:val="bullet"/>
      <w:lvlText w:val=""/>
      <w:lvlJc w:val="left"/>
      <w:pPr>
        <w:tabs>
          <w:tab w:val="left" w:pos="360"/>
        </w:tabs>
        <w:ind w:left="360" w:hanging="360"/>
      </w:pPr>
      <w:rPr>
        <w:rFonts w:hint="default" w:ascii="Wingdings" w:hAnsi="Wingdings"/>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35"/>
    <w:rsid w:val="00B13892"/>
    <w:rsid w:val="00D76535"/>
    <w:rsid w:val="00E824CF"/>
    <w:rsid w:val="2105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275</Words>
  <Characters>1571</Characters>
  <Lines>13</Lines>
  <Paragraphs>3</Paragraphs>
  <TotalTime>0</TotalTime>
  <ScaleCrop>false</ScaleCrop>
  <LinksUpToDate>false</LinksUpToDate>
  <CharactersWithSpaces>1843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2020-05-26T01:06:00Z</dcterms:created>
  <dc:creator>Windows 用户</dc:creator>
  <cp:lastModifiedBy>Z先生</cp:lastModifiedBy>
  <dcterms:modified xsi:type="dcterms:W3CDTF">2021-04-09T05:01:12Z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0FAD992A556341EBAEB65ADE6285C0FC</vt:lpwstr>
  </property>
</Properties>
</file>