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ind w:leftChars="0"/>
        <w:jc w:val="center"/>
        <w:rPr>
          <w:rFonts w:hint="default"/>
          <w:b/>
          <w:bCs/>
          <w:sz w:val="32"/>
          <w:szCs w:val="40"/>
          <w:lang w:val="en-US" w:eastAsia="zh-CN"/>
        </w:rPr>
      </w:pPr>
      <w:r>
        <w:rPr>
          <w:rFonts w:hint="eastAsia"/>
          <w:b/>
          <w:bCs/>
          <w:sz w:val="32"/>
          <w:szCs w:val="40"/>
          <w:lang w:val="en-US" w:eastAsia="zh-CN"/>
        </w:rPr>
        <w:t>期权附件</w:t>
      </w:r>
    </w:p>
    <w:sdt>
      <w:sdtPr>
        <w:rPr>
          <w:rFonts w:ascii="宋体" w:hAnsi="宋体" w:eastAsia="宋体" w:cstheme="minorBidi"/>
          <w:kern w:val="2"/>
          <w:sz w:val="21"/>
          <w:szCs w:val="24"/>
          <w:lang w:val="en-US" w:eastAsia="zh-CN" w:bidi="ar-SA"/>
        </w:rPr>
        <w:id w:val="147471447"/>
        <w15:color w:val="DBDBDB"/>
        <w:docPartObj>
          <w:docPartGallery w:val="Table of Contents"/>
          <w:docPartUnique/>
        </w:docPartObj>
      </w:sdtPr>
      <w:sdtEndPr>
        <w:rPr>
          <w:rFonts w:hint="eastAsia" w:ascii="仿宋" w:hAnsi="仿宋" w:eastAsia="仿宋" w:cs="仿宋"/>
          <w:kern w:val="2"/>
          <w:sz w:val="21"/>
          <w:szCs w:val="36"/>
          <w:lang w:val="en-US" w:eastAsia="zh-CN" w:bidi="ar-SA"/>
        </w:rPr>
      </w:sdtEndPr>
      <w:sdtContent>
        <w:p>
          <w:pPr>
            <w:spacing w:before="0" w:beforeLines="0" w:after="0" w:afterLines="0" w:line="240" w:lineRule="auto"/>
            <w:ind w:left="0" w:leftChars="0" w:right="0" w:rightChars="0" w:firstLine="0" w:firstLineChars="0"/>
            <w:jc w:val="center"/>
          </w:pPr>
        </w:p>
        <w:p>
          <w:pPr>
            <w:pStyle w:val="9"/>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rFonts w:ascii="仿宋" w:hAnsi="仿宋" w:eastAsia="仿宋" w:cs="仿宋"/>
              <w:sz w:val="28"/>
              <w:szCs w:val="36"/>
            </w:rPr>
          </w:pPr>
          <w:r>
            <w:rPr>
              <w:rFonts w:hint="eastAsia" w:ascii="仿宋" w:hAnsi="仿宋" w:eastAsia="仿宋" w:cs="仿宋"/>
              <w:sz w:val="28"/>
              <w:szCs w:val="36"/>
              <w:lang w:val="en-US" w:eastAsia="zh-CN"/>
            </w:rPr>
            <w:fldChar w:fldCharType="begin"/>
          </w:r>
          <w:r>
            <w:rPr>
              <w:rFonts w:hint="eastAsia" w:ascii="仿宋" w:hAnsi="仿宋" w:eastAsia="仿宋" w:cs="仿宋"/>
              <w:sz w:val="28"/>
              <w:szCs w:val="36"/>
              <w:lang w:val="en-US" w:eastAsia="zh-CN"/>
            </w:rPr>
            <w:instrText xml:space="preserve">TOC \o "1-1" \h \u </w:instrText>
          </w:r>
          <w:r>
            <w:rPr>
              <w:rFonts w:hint="eastAsia" w:ascii="仿宋" w:hAnsi="仿宋" w:eastAsia="仿宋" w:cs="仿宋"/>
              <w:sz w:val="28"/>
              <w:szCs w:val="36"/>
              <w:lang w:val="en-US" w:eastAsia="zh-CN"/>
            </w:rPr>
            <w:fldChar w:fldCharType="separate"/>
          </w:r>
          <w:r>
            <w:rPr>
              <w:rFonts w:hint="eastAsia" w:ascii="仿宋" w:hAnsi="仿宋" w:eastAsia="仿宋" w:cs="仿宋"/>
              <w:sz w:val="28"/>
              <w:szCs w:val="36"/>
              <w:lang w:val="en-US" w:eastAsia="zh-CN"/>
            </w:rPr>
            <w:fldChar w:fldCharType="begin"/>
          </w:r>
          <w:r>
            <w:rPr>
              <w:rFonts w:hint="eastAsia" w:ascii="仿宋" w:hAnsi="仿宋" w:eastAsia="仿宋" w:cs="仿宋"/>
              <w:sz w:val="28"/>
              <w:szCs w:val="36"/>
              <w:lang w:val="en-US" w:eastAsia="zh-CN"/>
            </w:rPr>
            <w:instrText xml:space="preserve"> HYPERLINK \l _Toc23581 </w:instrText>
          </w:r>
          <w:r>
            <w:rPr>
              <w:rFonts w:hint="eastAsia" w:ascii="仿宋" w:hAnsi="仿宋" w:eastAsia="仿宋" w:cs="仿宋"/>
              <w:sz w:val="28"/>
              <w:szCs w:val="36"/>
              <w:lang w:val="en-US" w:eastAsia="zh-CN"/>
            </w:rPr>
            <w:fldChar w:fldCharType="separate"/>
          </w:r>
          <w:r>
            <w:rPr>
              <w:rFonts w:hint="eastAsia" w:ascii="仿宋" w:hAnsi="仿宋" w:eastAsia="仿宋" w:cs="仿宋"/>
              <w:sz w:val="28"/>
              <w:szCs w:val="36"/>
            </w:rPr>
            <w:t>华创期货</w:t>
          </w:r>
          <w:r>
            <w:rPr>
              <w:rFonts w:hint="eastAsia" w:ascii="仿宋" w:hAnsi="仿宋" w:eastAsia="仿宋" w:cs="仿宋"/>
              <w:sz w:val="28"/>
              <w:szCs w:val="36"/>
              <w:lang w:val="en-US" w:eastAsia="zh-CN"/>
            </w:rPr>
            <w:t>交易</w:t>
          </w:r>
          <w:r>
            <w:rPr>
              <w:rFonts w:hint="eastAsia" w:ascii="仿宋" w:hAnsi="仿宋" w:eastAsia="仿宋" w:cs="仿宋"/>
              <w:sz w:val="28"/>
              <w:szCs w:val="36"/>
            </w:rPr>
            <w:t>者适当性交易编码/交易权限申请表</w:t>
          </w:r>
          <w:r>
            <w:rPr>
              <w:rFonts w:ascii="仿宋" w:hAnsi="仿宋" w:eastAsia="仿宋" w:cs="仿宋"/>
              <w:sz w:val="28"/>
              <w:szCs w:val="36"/>
            </w:rPr>
            <w:tab/>
          </w:r>
          <w:r>
            <w:rPr>
              <w:rFonts w:hint="eastAsia" w:ascii="仿宋" w:hAnsi="仿宋" w:eastAsia="仿宋" w:cs="仿宋"/>
              <w:sz w:val="28"/>
              <w:szCs w:val="36"/>
              <w:lang w:val="en-US" w:eastAsia="zh-CN"/>
            </w:rPr>
            <w:t>1</w:t>
          </w:r>
          <w:r>
            <w:rPr>
              <w:rFonts w:hint="eastAsia" w:ascii="仿宋" w:hAnsi="仿宋" w:eastAsia="仿宋" w:cs="仿宋"/>
              <w:sz w:val="28"/>
              <w:szCs w:val="36"/>
              <w:lang w:val="en-US" w:eastAsia="zh-CN"/>
            </w:rPr>
            <w:fldChar w:fldCharType="end"/>
          </w:r>
        </w:p>
        <w:p>
          <w:pPr>
            <w:pStyle w:val="9"/>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rFonts w:ascii="仿宋" w:hAnsi="仿宋" w:eastAsia="仿宋" w:cs="仿宋"/>
              <w:sz w:val="28"/>
              <w:szCs w:val="36"/>
            </w:rPr>
          </w:pPr>
          <w:r>
            <w:rPr>
              <w:rFonts w:hint="eastAsia" w:ascii="仿宋" w:hAnsi="仿宋" w:eastAsia="仿宋" w:cs="仿宋"/>
              <w:sz w:val="28"/>
              <w:szCs w:val="36"/>
              <w:lang w:val="en-US" w:eastAsia="zh-CN"/>
            </w:rPr>
            <w:fldChar w:fldCharType="begin"/>
          </w:r>
          <w:r>
            <w:rPr>
              <w:rFonts w:hint="eastAsia" w:ascii="仿宋" w:hAnsi="仿宋" w:eastAsia="仿宋" w:cs="仿宋"/>
              <w:sz w:val="28"/>
              <w:szCs w:val="36"/>
              <w:lang w:val="en-US" w:eastAsia="zh-CN"/>
            </w:rPr>
            <w:instrText xml:space="preserve"> HYPERLINK \l _Toc16203 </w:instrText>
          </w:r>
          <w:r>
            <w:rPr>
              <w:rFonts w:hint="eastAsia" w:ascii="仿宋" w:hAnsi="仿宋" w:eastAsia="仿宋" w:cs="仿宋"/>
              <w:sz w:val="28"/>
              <w:szCs w:val="36"/>
              <w:lang w:val="en-US" w:eastAsia="zh-CN"/>
            </w:rPr>
            <w:fldChar w:fldCharType="separate"/>
          </w:r>
          <w:r>
            <w:rPr>
              <w:rFonts w:hint="eastAsia" w:ascii="仿宋" w:hAnsi="仿宋" w:eastAsia="仿宋" w:cs="仿宋"/>
              <w:sz w:val="28"/>
              <w:szCs w:val="36"/>
            </w:rPr>
            <w:t>期权业务特别风险揭示</w:t>
          </w:r>
          <w:r>
            <w:rPr>
              <w:rFonts w:ascii="仿宋" w:hAnsi="仿宋" w:eastAsia="仿宋" w:cs="仿宋"/>
              <w:sz w:val="28"/>
              <w:szCs w:val="36"/>
            </w:rPr>
            <w:tab/>
          </w:r>
          <w:r>
            <w:rPr>
              <w:rFonts w:hint="eastAsia" w:ascii="仿宋" w:hAnsi="仿宋" w:eastAsia="仿宋" w:cs="仿宋"/>
              <w:sz w:val="28"/>
              <w:szCs w:val="36"/>
              <w:lang w:val="en-US" w:eastAsia="zh-CN"/>
            </w:rPr>
            <w:t>2</w:t>
          </w:r>
          <w:r>
            <w:rPr>
              <w:rFonts w:hint="eastAsia" w:ascii="仿宋" w:hAnsi="仿宋" w:eastAsia="仿宋" w:cs="仿宋"/>
              <w:sz w:val="28"/>
              <w:szCs w:val="36"/>
              <w:lang w:val="en-US" w:eastAsia="zh-CN"/>
            </w:rPr>
            <w:fldChar w:fldCharType="end"/>
          </w:r>
        </w:p>
        <w:p>
          <w:pPr>
            <w:pStyle w:val="9"/>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rFonts w:hint="eastAsia" w:ascii="仿宋" w:hAnsi="仿宋" w:eastAsia="仿宋" w:cs="仿宋"/>
              <w:sz w:val="28"/>
              <w:szCs w:val="36"/>
              <w:lang w:val="en-US" w:eastAsia="zh-CN"/>
            </w:rPr>
          </w:pPr>
          <w:r>
            <w:rPr>
              <w:rFonts w:hint="eastAsia" w:ascii="仿宋" w:hAnsi="仿宋" w:eastAsia="仿宋" w:cs="仿宋"/>
              <w:sz w:val="28"/>
              <w:szCs w:val="36"/>
              <w:lang w:val="en-US" w:eastAsia="zh-CN"/>
            </w:rPr>
            <w:fldChar w:fldCharType="end"/>
          </w:r>
        </w:p>
      </w:sdtContent>
    </w:sdt>
    <w:p>
      <w:pPr>
        <w:numPr>
          <w:ilvl w:val="0"/>
          <w:numId w:val="0"/>
        </w:numPr>
        <w:ind w:leftChars="0"/>
        <w:jc w:val="both"/>
        <w:rPr>
          <w:rFonts w:hint="eastAsia" w:ascii="仿宋" w:hAnsi="仿宋" w:eastAsia="仿宋" w:cs="仿宋"/>
          <w:sz w:val="28"/>
          <w:szCs w:val="36"/>
          <w:lang w:val="en-US" w:eastAsia="zh-CN"/>
        </w:rPr>
      </w:pPr>
    </w:p>
    <w:p>
      <w:pPr>
        <w:numPr>
          <w:ilvl w:val="0"/>
          <w:numId w:val="0"/>
        </w:numPr>
        <w:ind w:leftChars="0"/>
        <w:jc w:val="both"/>
        <w:rPr>
          <w:rFonts w:hint="eastAsia" w:ascii="仿宋" w:hAnsi="仿宋" w:eastAsia="仿宋" w:cs="仿宋"/>
          <w:sz w:val="28"/>
          <w:szCs w:val="36"/>
          <w:lang w:val="en-US" w:eastAsia="zh-CN"/>
        </w:rPr>
      </w:pPr>
    </w:p>
    <w:p>
      <w:pPr>
        <w:numPr>
          <w:ilvl w:val="0"/>
          <w:numId w:val="0"/>
        </w:numPr>
        <w:ind w:leftChars="0"/>
        <w:jc w:val="both"/>
        <w:rPr>
          <w:rFonts w:hint="eastAsia" w:ascii="仿宋" w:hAnsi="仿宋" w:eastAsia="仿宋" w:cs="仿宋"/>
          <w:sz w:val="28"/>
          <w:szCs w:val="36"/>
          <w:lang w:val="en-US" w:eastAsia="zh-CN"/>
        </w:rPr>
      </w:pPr>
    </w:p>
    <w:p>
      <w:pPr>
        <w:numPr>
          <w:ilvl w:val="0"/>
          <w:numId w:val="0"/>
        </w:numPr>
        <w:ind w:leftChars="0"/>
        <w:jc w:val="both"/>
        <w:rPr>
          <w:rFonts w:hint="eastAsia" w:ascii="仿宋" w:hAnsi="仿宋" w:eastAsia="仿宋" w:cs="仿宋"/>
          <w:sz w:val="28"/>
          <w:szCs w:val="36"/>
          <w:lang w:val="en-US" w:eastAsia="zh-CN"/>
        </w:rPr>
      </w:pPr>
    </w:p>
    <w:p>
      <w:pPr>
        <w:numPr>
          <w:ilvl w:val="0"/>
          <w:numId w:val="0"/>
        </w:numPr>
        <w:ind w:leftChars="0"/>
        <w:jc w:val="both"/>
        <w:rPr>
          <w:rFonts w:hint="eastAsia" w:ascii="仿宋" w:hAnsi="仿宋" w:eastAsia="仿宋" w:cs="仿宋"/>
          <w:sz w:val="28"/>
          <w:szCs w:val="36"/>
          <w:lang w:val="en-US" w:eastAsia="zh-CN"/>
        </w:rPr>
      </w:pPr>
    </w:p>
    <w:p>
      <w:pPr>
        <w:numPr>
          <w:ilvl w:val="0"/>
          <w:numId w:val="0"/>
        </w:numPr>
        <w:ind w:leftChars="0"/>
        <w:jc w:val="both"/>
        <w:rPr>
          <w:rFonts w:hint="eastAsia" w:ascii="仿宋" w:hAnsi="仿宋" w:eastAsia="仿宋" w:cs="仿宋"/>
          <w:sz w:val="28"/>
          <w:szCs w:val="36"/>
          <w:lang w:val="en-US" w:eastAsia="zh-CN"/>
        </w:rPr>
      </w:pPr>
    </w:p>
    <w:p>
      <w:pPr>
        <w:numPr>
          <w:ilvl w:val="0"/>
          <w:numId w:val="0"/>
        </w:numPr>
        <w:ind w:leftChars="0"/>
        <w:jc w:val="both"/>
        <w:rPr>
          <w:rFonts w:hint="eastAsia" w:ascii="仿宋" w:hAnsi="仿宋" w:eastAsia="仿宋" w:cs="仿宋"/>
          <w:sz w:val="28"/>
          <w:szCs w:val="36"/>
          <w:lang w:val="en-US" w:eastAsia="zh-CN"/>
        </w:rPr>
      </w:pPr>
    </w:p>
    <w:p>
      <w:pPr>
        <w:numPr>
          <w:ilvl w:val="0"/>
          <w:numId w:val="0"/>
        </w:numPr>
        <w:ind w:leftChars="0"/>
        <w:jc w:val="both"/>
        <w:rPr>
          <w:rFonts w:hint="eastAsia" w:ascii="仿宋" w:hAnsi="仿宋" w:eastAsia="仿宋" w:cs="仿宋"/>
          <w:sz w:val="28"/>
          <w:szCs w:val="36"/>
          <w:lang w:val="en-US" w:eastAsia="zh-CN"/>
        </w:rPr>
      </w:pPr>
    </w:p>
    <w:p>
      <w:pPr>
        <w:numPr>
          <w:ilvl w:val="0"/>
          <w:numId w:val="0"/>
        </w:numPr>
        <w:ind w:leftChars="0"/>
        <w:jc w:val="both"/>
        <w:rPr>
          <w:rFonts w:hint="eastAsia" w:ascii="仿宋" w:hAnsi="仿宋" w:eastAsia="仿宋" w:cs="仿宋"/>
          <w:sz w:val="28"/>
          <w:szCs w:val="36"/>
          <w:lang w:val="en-US" w:eastAsia="zh-CN"/>
        </w:rPr>
      </w:pPr>
    </w:p>
    <w:p>
      <w:pPr>
        <w:numPr>
          <w:ilvl w:val="0"/>
          <w:numId w:val="0"/>
        </w:numPr>
        <w:ind w:leftChars="0"/>
        <w:jc w:val="both"/>
        <w:rPr>
          <w:rFonts w:hint="eastAsia" w:ascii="仿宋" w:hAnsi="仿宋" w:eastAsia="仿宋" w:cs="仿宋"/>
          <w:sz w:val="28"/>
          <w:szCs w:val="36"/>
          <w:lang w:val="en-US" w:eastAsia="zh-CN"/>
        </w:rPr>
      </w:pPr>
    </w:p>
    <w:p>
      <w:pPr>
        <w:numPr>
          <w:ilvl w:val="0"/>
          <w:numId w:val="0"/>
        </w:numPr>
        <w:ind w:leftChars="0"/>
        <w:jc w:val="both"/>
        <w:rPr>
          <w:rFonts w:hint="eastAsia" w:ascii="仿宋" w:hAnsi="仿宋" w:eastAsia="仿宋" w:cs="仿宋"/>
          <w:sz w:val="28"/>
          <w:szCs w:val="36"/>
          <w:lang w:val="en-US" w:eastAsia="zh-CN"/>
        </w:rPr>
      </w:pPr>
    </w:p>
    <w:p>
      <w:pPr>
        <w:numPr>
          <w:ilvl w:val="0"/>
          <w:numId w:val="0"/>
        </w:numPr>
        <w:ind w:leftChars="0"/>
        <w:jc w:val="both"/>
        <w:rPr>
          <w:rFonts w:hint="eastAsia" w:ascii="仿宋" w:hAnsi="仿宋" w:eastAsia="仿宋" w:cs="仿宋"/>
          <w:sz w:val="28"/>
          <w:szCs w:val="36"/>
          <w:lang w:val="en-US" w:eastAsia="zh-CN"/>
        </w:rPr>
      </w:pPr>
    </w:p>
    <w:p>
      <w:pPr>
        <w:numPr>
          <w:ilvl w:val="0"/>
          <w:numId w:val="0"/>
        </w:numPr>
        <w:ind w:leftChars="0"/>
        <w:jc w:val="both"/>
        <w:rPr>
          <w:rFonts w:hint="eastAsia" w:ascii="仿宋" w:hAnsi="仿宋" w:eastAsia="仿宋" w:cs="仿宋"/>
          <w:sz w:val="28"/>
          <w:szCs w:val="36"/>
          <w:lang w:val="en-US" w:eastAsia="zh-CN"/>
        </w:rPr>
      </w:pPr>
    </w:p>
    <w:p>
      <w:pPr>
        <w:numPr>
          <w:ilvl w:val="0"/>
          <w:numId w:val="0"/>
        </w:numPr>
        <w:ind w:leftChars="0"/>
        <w:jc w:val="both"/>
        <w:rPr>
          <w:rFonts w:hint="eastAsia" w:ascii="仿宋" w:hAnsi="仿宋" w:eastAsia="仿宋" w:cs="仿宋"/>
          <w:sz w:val="28"/>
          <w:szCs w:val="36"/>
          <w:lang w:val="en-US" w:eastAsia="zh-CN"/>
        </w:rPr>
      </w:pPr>
    </w:p>
    <w:p>
      <w:pPr>
        <w:numPr>
          <w:ilvl w:val="0"/>
          <w:numId w:val="0"/>
        </w:numPr>
        <w:ind w:leftChars="0"/>
        <w:jc w:val="both"/>
        <w:rPr>
          <w:rFonts w:hint="eastAsia" w:ascii="仿宋" w:hAnsi="仿宋" w:eastAsia="仿宋" w:cs="仿宋"/>
          <w:sz w:val="28"/>
          <w:szCs w:val="36"/>
          <w:lang w:val="en-US" w:eastAsia="zh-CN"/>
        </w:rPr>
      </w:pPr>
    </w:p>
    <w:p>
      <w:pPr>
        <w:numPr>
          <w:ilvl w:val="0"/>
          <w:numId w:val="0"/>
        </w:numPr>
        <w:ind w:leftChars="0"/>
        <w:jc w:val="both"/>
        <w:rPr>
          <w:rFonts w:hint="eastAsia" w:ascii="仿宋" w:hAnsi="仿宋" w:eastAsia="仿宋" w:cs="仿宋"/>
          <w:sz w:val="28"/>
          <w:szCs w:val="36"/>
          <w:lang w:val="en-US" w:eastAsia="zh-CN"/>
        </w:rPr>
      </w:pPr>
    </w:p>
    <w:p>
      <w:pPr>
        <w:numPr>
          <w:ilvl w:val="0"/>
          <w:numId w:val="0"/>
        </w:numPr>
        <w:ind w:leftChars="0"/>
        <w:jc w:val="both"/>
        <w:rPr>
          <w:rFonts w:hint="eastAsia" w:ascii="仿宋" w:hAnsi="仿宋" w:eastAsia="仿宋" w:cs="仿宋"/>
          <w:sz w:val="28"/>
          <w:szCs w:val="36"/>
          <w:lang w:val="en-US" w:eastAsia="zh-CN"/>
        </w:rPr>
        <w:sectPr>
          <w:pgSz w:w="11906" w:h="16838"/>
          <w:pgMar w:top="1440" w:right="1800" w:bottom="1440" w:left="1800" w:header="851" w:footer="992" w:gutter="0"/>
          <w:cols w:space="425" w:num="1"/>
          <w:docGrid w:type="lines" w:linePitch="312" w:charSpace="0"/>
        </w:sectPr>
      </w:pPr>
    </w:p>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微软雅黑" w:hAnsi="微软雅黑" w:eastAsia="微软雅黑" w:cs="微软雅黑"/>
          <w:sz w:val="32"/>
          <w:szCs w:val="20"/>
        </w:rPr>
      </w:pPr>
      <w:bookmarkStart w:id="0" w:name="_Toc23581"/>
      <w:r>
        <w:rPr>
          <w:rFonts w:hint="eastAsia" w:ascii="微软雅黑" w:hAnsi="微软雅黑" w:eastAsia="微软雅黑" w:cs="微软雅黑"/>
          <w:sz w:val="32"/>
          <w:szCs w:val="20"/>
        </w:rPr>
        <w:t>华创期货</w:t>
      </w:r>
      <w:r>
        <w:rPr>
          <w:rFonts w:hint="eastAsia" w:ascii="微软雅黑" w:hAnsi="微软雅黑" w:eastAsia="微软雅黑" w:cs="微软雅黑"/>
          <w:sz w:val="32"/>
          <w:szCs w:val="20"/>
          <w:lang w:val="en-US" w:eastAsia="zh-CN"/>
        </w:rPr>
        <w:t>交易</w:t>
      </w:r>
      <w:r>
        <w:rPr>
          <w:rFonts w:hint="eastAsia" w:ascii="微软雅黑" w:hAnsi="微软雅黑" w:eastAsia="微软雅黑" w:cs="微软雅黑"/>
          <w:sz w:val="32"/>
          <w:szCs w:val="20"/>
        </w:rPr>
        <w:t>者适当性交易编码/交易权限申请表</w:t>
      </w:r>
      <w:bookmarkEnd w:id="0"/>
    </w:p>
    <w:tbl>
      <w:tblPr>
        <w:tblStyle w:val="6"/>
        <w:tblpPr w:leftFromText="180" w:rightFromText="180" w:vertAnchor="page" w:horzAnchor="page" w:tblpX="895" w:tblpY="1293"/>
        <w:tblOverlap w:val="never"/>
        <w:tblW w:w="1032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90"/>
        <w:gridCol w:w="671"/>
        <w:gridCol w:w="758"/>
        <w:gridCol w:w="757"/>
        <w:gridCol w:w="1988"/>
        <w:gridCol w:w="227"/>
        <w:gridCol w:w="989"/>
        <w:gridCol w:w="63"/>
        <w:gridCol w:w="1074"/>
        <w:gridCol w:w="992"/>
        <w:gridCol w:w="105"/>
        <w:gridCol w:w="171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0324" w:type="dxa"/>
            <w:gridSpan w:val="12"/>
            <w:tcBorders>
              <w:tl2br w:val="nil"/>
              <w:tr2bl w:val="nil"/>
            </w:tcBorders>
            <w:shd w:val="clear" w:color="auto" w:fill="D7D7D7" w:themeFill="background1" w:themeFillShade="D8"/>
            <w:vAlign w:val="center"/>
          </w:tcPr>
          <w:p>
            <w:pPr>
              <w:rPr>
                <w:rFonts w:ascii="仿宋" w:hAnsi="仿宋" w:eastAsia="仿宋" w:cstheme="minorEastAsia"/>
                <w:sz w:val="18"/>
                <w:szCs w:val="18"/>
              </w:rPr>
            </w:pPr>
            <w:r>
              <w:rPr>
                <w:rFonts w:hint="eastAsia" w:ascii="仿宋" w:hAnsi="仿宋" w:eastAsia="仿宋" w:cstheme="minorEastAsia"/>
                <w:b/>
                <w:bCs/>
                <w:sz w:val="18"/>
                <w:szCs w:val="18"/>
              </w:rPr>
              <w:t>一、客户信息、申请及承诺（客户填写）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1" w:hRule="exact"/>
          <w:jc w:val="center"/>
        </w:trPr>
        <w:tc>
          <w:tcPr>
            <w:tcW w:w="990" w:type="dxa"/>
            <w:tcBorders>
              <w:tl2br w:val="nil"/>
              <w:tr2bl w:val="nil"/>
            </w:tcBorders>
            <w:shd w:val="clear" w:color="auto" w:fill="auto"/>
            <w:vAlign w:val="center"/>
          </w:tcPr>
          <w:p>
            <w:pPr>
              <w:jc w:val="center"/>
              <w:rPr>
                <w:rFonts w:ascii="仿宋" w:hAnsi="仿宋" w:eastAsia="仿宋" w:cstheme="minorEastAsia"/>
                <w:b/>
                <w:bCs/>
                <w:sz w:val="18"/>
                <w:szCs w:val="18"/>
              </w:rPr>
            </w:pPr>
            <w:r>
              <w:rPr>
                <w:rFonts w:hint="eastAsia" w:ascii="仿宋" w:hAnsi="仿宋" w:eastAsia="仿宋" w:cstheme="minorEastAsia"/>
                <w:sz w:val="18"/>
                <w:szCs w:val="18"/>
              </w:rPr>
              <w:t>资金账号</w:t>
            </w:r>
          </w:p>
        </w:tc>
        <w:tc>
          <w:tcPr>
            <w:tcW w:w="1429" w:type="dxa"/>
            <w:gridSpan w:val="2"/>
            <w:tcBorders>
              <w:tl2br w:val="nil"/>
              <w:tr2bl w:val="nil"/>
            </w:tcBorders>
            <w:shd w:val="clear" w:color="auto" w:fill="auto"/>
            <w:vAlign w:val="center"/>
          </w:tcPr>
          <w:p>
            <w:pPr>
              <w:jc w:val="center"/>
              <w:rPr>
                <w:rFonts w:ascii="仿宋" w:hAnsi="仿宋" w:eastAsia="仿宋" w:cstheme="minorEastAsia"/>
                <w:b/>
                <w:bCs/>
                <w:sz w:val="18"/>
                <w:szCs w:val="18"/>
              </w:rPr>
            </w:pPr>
          </w:p>
        </w:tc>
        <w:tc>
          <w:tcPr>
            <w:tcW w:w="757" w:type="dxa"/>
            <w:tcBorders>
              <w:tl2br w:val="nil"/>
              <w:tr2bl w:val="nil"/>
            </w:tcBorders>
            <w:shd w:val="clear" w:color="auto" w:fill="auto"/>
            <w:vAlign w:val="center"/>
          </w:tcPr>
          <w:p>
            <w:pPr>
              <w:jc w:val="center"/>
              <w:rPr>
                <w:rFonts w:ascii="仿宋" w:hAnsi="仿宋" w:eastAsia="仿宋" w:cstheme="minorEastAsia"/>
                <w:b/>
                <w:bCs/>
                <w:sz w:val="18"/>
                <w:szCs w:val="18"/>
              </w:rPr>
            </w:pPr>
            <w:r>
              <w:rPr>
                <w:rFonts w:hint="eastAsia" w:ascii="仿宋" w:hAnsi="仿宋" w:eastAsia="仿宋" w:cstheme="minorEastAsia"/>
                <w:sz w:val="18"/>
                <w:szCs w:val="18"/>
              </w:rPr>
              <w:t>名称</w:t>
            </w:r>
          </w:p>
        </w:tc>
        <w:tc>
          <w:tcPr>
            <w:tcW w:w="2215" w:type="dxa"/>
            <w:gridSpan w:val="2"/>
            <w:tcBorders>
              <w:tl2br w:val="nil"/>
              <w:tr2bl w:val="nil"/>
            </w:tcBorders>
            <w:shd w:val="clear" w:color="auto" w:fill="auto"/>
            <w:vAlign w:val="center"/>
          </w:tcPr>
          <w:p>
            <w:pPr>
              <w:jc w:val="center"/>
              <w:rPr>
                <w:rFonts w:ascii="仿宋" w:hAnsi="仿宋" w:eastAsia="仿宋" w:cstheme="minorEastAsia"/>
                <w:b/>
                <w:bCs/>
                <w:sz w:val="18"/>
                <w:szCs w:val="18"/>
              </w:rPr>
            </w:pPr>
          </w:p>
        </w:tc>
        <w:tc>
          <w:tcPr>
            <w:tcW w:w="1052" w:type="dxa"/>
            <w:gridSpan w:val="2"/>
            <w:tcBorders>
              <w:tl2br w:val="nil"/>
              <w:tr2bl w:val="nil"/>
            </w:tcBorders>
            <w:shd w:val="clear" w:color="auto" w:fill="auto"/>
            <w:vAlign w:val="center"/>
          </w:tcPr>
          <w:p>
            <w:pPr>
              <w:jc w:val="center"/>
              <w:rPr>
                <w:rFonts w:ascii="仿宋" w:hAnsi="仿宋" w:eastAsia="仿宋" w:cstheme="minorEastAsia"/>
                <w:b/>
                <w:bCs/>
                <w:sz w:val="18"/>
                <w:szCs w:val="18"/>
              </w:rPr>
            </w:pPr>
            <w:r>
              <w:rPr>
                <w:rFonts w:hint="eastAsia" w:ascii="仿宋" w:hAnsi="仿宋" w:eastAsia="仿宋" w:cstheme="minorEastAsia"/>
                <w:sz w:val="18"/>
                <w:szCs w:val="18"/>
              </w:rPr>
              <w:t>证件类型</w:t>
            </w:r>
          </w:p>
        </w:tc>
        <w:tc>
          <w:tcPr>
            <w:tcW w:w="1074" w:type="dxa"/>
            <w:tcBorders>
              <w:tl2br w:val="nil"/>
              <w:tr2bl w:val="nil"/>
            </w:tcBorders>
            <w:shd w:val="clear" w:color="auto" w:fill="auto"/>
            <w:vAlign w:val="center"/>
          </w:tcPr>
          <w:p>
            <w:pPr>
              <w:jc w:val="center"/>
              <w:rPr>
                <w:rFonts w:ascii="仿宋" w:hAnsi="仿宋" w:eastAsia="仿宋" w:cstheme="minorEastAsia"/>
                <w:b/>
                <w:bCs/>
                <w:sz w:val="18"/>
                <w:szCs w:val="18"/>
              </w:rPr>
            </w:pPr>
          </w:p>
        </w:tc>
        <w:tc>
          <w:tcPr>
            <w:tcW w:w="992" w:type="dxa"/>
            <w:tcBorders>
              <w:tl2br w:val="nil"/>
              <w:tr2bl w:val="nil"/>
            </w:tcBorders>
            <w:shd w:val="clear" w:color="auto" w:fill="auto"/>
            <w:vAlign w:val="center"/>
          </w:tcPr>
          <w:p>
            <w:pPr>
              <w:jc w:val="center"/>
              <w:rPr>
                <w:rFonts w:ascii="仿宋" w:hAnsi="仿宋" w:eastAsia="仿宋" w:cstheme="minorEastAsia"/>
                <w:b/>
                <w:bCs/>
                <w:sz w:val="18"/>
                <w:szCs w:val="18"/>
              </w:rPr>
            </w:pPr>
            <w:r>
              <w:rPr>
                <w:rFonts w:hint="eastAsia" w:ascii="仿宋" w:hAnsi="仿宋" w:eastAsia="仿宋" w:cstheme="minorEastAsia"/>
                <w:sz w:val="18"/>
                <w:szCs w:val="18"/>
              </w:rPr>
              <w:t>证件号码</w:t>
            </w:r>
          </w:p>
        </w:tc>
        <w:tc>
          <w:tcPr>
            <w:tcW w:w="1815" w:type="dxa"/>
            <w:gridSpan w:val="2"/>
            <w:tcBorders>
              <w:tl2br w:val="nil"/>
              <w:tr2bl w:val="nil"/>
            </w:tcBorders>
            <w:shd w:val="clear" w:color="auto" w:fill="auto"/>
            <w:vAlign w:val="center"/>
          </w:tcPr>
          <w:p>
            <w:pPr>
              <w:jc w:val="center"/>
              <w:rPr>
                <w:rFonts w:ascii="仿宋" w:hAnsi="仿宋" w:eastAsia="仿宋" w:cstheme="minorEastAsia"/>
                <w:b/>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7" w:hRule="exact"/>
          <w:jc w:val="center"/>
        </w:trPr>
        <w:tc>
          <w:tcPr>
            <w:tcW w:w="990" w:type="dxa"/>
            <w:vMerge w:val="restart"/>
            <w:tcBorders>
              <w:tl2br w:val="nil"/>
              <w:tr2bl w:val="nil"/>
            </w:tcBorders>
            <w:shd w:val="clear" w:color="auto" w:fill="auto"/>
            <w:vAlign w:val="center"/>
          </w:tcPr>
          <w:p>
            <w:pPr>
              <w:jc w:val="center"/>
              <w:rPr>
                <w:rFonts w:ascii="仿宋" w:hAnsi="仿宋" w:eastAsia="仿宋" w:cstheme="minorEastAsia"/>
                <w:sz w:val="18"/>
                <w:szCs w:val="18"/>
              </w:rPr>
            </w:pPr>
            <w:r>
              <w:rPr>
                <w:rFonts w:hint="eastAsia" w:ascii="仿宋" w:hAnsi="仿宋" w:eastAsia="仿宋" w:cstheme="minorEastAsia"/>
                <w:b/>
                <w:bCs/>
                <w:sz w:val="18"/>
                <w:szCs w:val="18"/>
              </w:rPr>
              <w:t>交易权限申</w:t>
            </w:r>
            <w:r>
              <w:rPr>
                <w:rFonts w:hint="eastAsia" w:ascii="仿宋" w:hAnsi="仿宋" w:eastAsia="仿宋" w:cstheme="minorEastAsia"/>
                <w:b/>
                <w:bCs/>
                <w:sz w:val="18"/>
                <w:szCs w:val="18"/>
                <w:lang w:val="en-US" w:eastAsia="zh-CN"/>
              </w:rPr>
              <w:t xml:space="preserve"> </w:t>
            </w:r>
            <w:r>
              <w:rPr>
                <w:rFonts w:hint="eastAsia" w:ascii="仿宋" w:hAnsi="仿宋" w:eastAsia="仿宋" w:cstheme="minorEastAsia"/>
                <w:b/>
                <w:bCs/>
                <w:sz w:val="18"/>
                <w:szCs w:val="18"/>
              </w:rPr>
              <w:t>请</w:t>
            </w:r>
          </w:p>
        </w:tc>
        <w:tc>
          <w:tcPr>
            <w:tcW w:w="2186" w:type="dxa"/>
            <w:gridSpan w:val="3"/>
            <w:tcBorders>
              <w:tl2br w:val="nil"/>
              <w:tr2bl w:val="nil"/>
            </w:tcBorders>
            <w:shd w:val="clear" w:color="auto" w:fill="auto"/>
            <w:vAlign w:val="center"/>
          </w:tcPr>
          <w:p>
            <w:pPr>
              <w:jc w:val="center"/>
              <w:rPr>
                <w:rFonts w:ascii="仿宋" w:hAnsi="仿宋" w:eastAsia="仿宋" w:cstheme="minorEastAsia"/>
                <w:sz w:val="18"/>
                <w:szCs w:val="18"/>
              </w:rPr>
            </w:pPr>
            <w:r>
              <w:rPr>
                <w:rFonts w:hint="eastAsia" w:ascii="仿宋" w:hAnsi="仿宋" w:eastAsia="仿宋" w:cstheme="minorEastAsia"/>
                <w:b/>
                <w:bCs/>
                <w:sz w:val="18"/>
                <w:szCs w:val="18"/>
              </w:rPr>
              <w:t>上海期货交易所</w:t>
            </w:r>
          </w:p>
        </w:tc>
        <w:tc>
          <w:tcPr>
            <w:tcW w:w="7148" w:type="dxa"/>
            <w:gridSpan w:val="8"/>
            <w:tcBorders>
              <w:tl2br w:val="nil"/>
              <w:tr2bl w:val="nil"/>
            </w:tcBorders>
            <w:shd w:val="clear" w:color="auto" w:fill="auto"/>
            <w:vAlign w:val="center"/>
          </w:tcPr>
          <w:p>
            <w:pPr>
              <w:jc w:val="left"/>
              <w:rPr>
                <w:rFonts w:ascii="仿宋" w:hAnsi="仿宋" w:eastAsia="仿宋" w:cstheme="minorEastAsia"/>
                <w:sz w:val="18"/>
                <w:szCs w:val="18"/>
              </w:rPr>
            </w:pPr>
            <w:r>
              <w:rPr>
                <w:rFonts w:hint="eastAsia" w:ascii="仿宋" w:hAnsi="仿宋" w:eastAsia="仿宋" w:cstheme="minorEastAsia"/>
                <w:sz w:val="18"/>
                <w:szCs w:val="18"/>
              </w:rPr>
              <w:t>特定品种期货合约权限□     期权合约交易权限□       二次开户  □是    □否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7" w:hRule="exact"/>
          <w:jc w:val="center"/>
        </w:trPr>
        <w:tc>
          <w:tcPr>
            <w:tcW w:w="990" w:type="dxa"/>
            <w:vMerge w:val="continue"/>
            <w:tcBorders>
              <w:tl2br w:val="nil"/>
              <w:tr2bl w:val="nil"/>
            </w:tcBorders>
            <w:shd w:val="clear" w:color="auto" w:fill="auto"/>
            <w:vAlign w:val="center"/>
          </w:tcPr>
          <w:p>
            <w:pPr>
              <w:rPr>
                <w:rFonts w:ascii="仿宋" w:hAnsi="仿宋" w:eastAsia="仿宋" w:cstheme="minorEastAsia"/>
                <w:b/>
                <w:bCs/>
                <w:sz w:val="18"/>
                <w:szCs w:val="18"/>
              </w:rPr>
            </w:pPr>
          </w:p>
        </w:tc>
        <w:tc>
          <w:tcPr>
            <w:tcW w:w="2186" w:type="dxa"/>
            <w:gridSpan w:val="3"/>
            <w:tcBorders>
              <w:tl2br w:val="nil"/>
              <w:tr2bl w:val="nil"/>
            </w:tcBorders>
            <w:shd w:val="clear" w:color="auto" w:fill="auto"/>
            <w:vAlign w:val="center"/>
          </w:tcPr>
          <w:p>
            <w:pPr>
              <w:jc w:val="center"/>
              <w:rPr>
                <w:rFonts w:ascii="仿宋" w:hAnsi="仿宋" w:eastAsia="仿宋" w:cstheme="minorEastAsia"/>
                <w:b/>
                <w:bCs/>
                <w:sz w:val="18"/>
                <w:szCs w:val="18"/>
              </w:rPr>
            </w:pPr>
            <w:r>
              <w:rPr>
                <w:rFonts w:hint="eastAsia" w:ascii="仿宋" w:hAnsi="仿宋" w:eastAsia="仿宋" w:cstheme="minorEastAsia"/>
                <w:b/>
                <w:bCs/>
                <w:sz w:val="18"/>
                <w:szCs w:val="18"/>
              </w:rPr>
              <w:t>上海国际能源交易中心</w:t>
            </w:r>
          </w:p>
        </w:tc>
        <w:tc>
          <w:tcPr>
            <w:tcW w:w="7148" w:type="dxa"/>
            <w:gridSpan w:val="8"/>
            <w:tcBorders>
              <w:tl2br w:val="nil"/>
              <w:tr2bl w:val="nil"/>
            </w:tcBorders>
            <w:shd w:val="clear" w:color="auto" w:fill="auto"/>
            <w:vAlign w:val="center"/>
          </w:tcPr>
          <w:p>
            <w:pPr>
              <w:jc w:val="left"/>
              <w:rPr>
                <w:rFonts w:ascii="仿宋" w:hAnsi="仿宋" w:eastAsia="仿宋" w:cstheme="minorEastAsia"/>
                <w:sz w:val="18"/>
                <w:szCs w:val="18"/>
              </w:rPr>
            </w:pPr>
            <w:r>
              <w:rPr>
                <w:rFonts w:hint="eastAsia" w:ascii="仿宋" w:hAnsi="仿宋" w:eastAsia="仿宋" w:cstheme="minorEastAsia"/>
                <w:sz w:val="18"/>
                <w:szCs w:val="18"/>
              </w:rPr>
              <w:t xml:space="preserve">特定品种期货合约权限□ </w:t>
            </w:r>
            <w:r>
              <w:rPr>
                <w:rFonts w:ascii="仿宋" w:hAnsi="仿宋" w:eastAsia="仿宋" w:cstheme="minorEastAsia"/>
                <w:sz w:val="18"/>
                <w:szCs w:val="18"/>
              </w:rPr>
              <w:t xml:space="preserve">            </w:t>
            </w:r>
            <w:r>
              <w:rPr>
                <w:rFonts w:hint="eastAsia" w:ascii="仿宋" w:hAnsi="仿宋" w:eastAsia="仿宋" w:cstheme="minorEastAsia"/>
                <w:sz w:val="18"/>
                <w:szCs w:val="18"/>
              </w:rPr>
              <w:t xml:space="preserve">原油期货□      </w:t>
            </w:r>
            <w:r>
              <w:rPr>
                <w:rFonts w:ascii="仿宋" w:hAnsi="仿宋" w:eastAsia="仿宋" w:cstheme="minorEastAsia"/>
                <w:sz w:val="18"/>
                <w:szCs w:val="18"/>
              </w:rPr>
              <w:t xml:space="preserve"> </w:t>
            </w:r>
            <w:r>
              <w:rPr>
                <w:rFonts w:hint="eastAsia" w:ascii="仿宋" w:hAnsi="仿宋" w:eastAsia="仿宋" w:cstheme="minorEastAsia"/>
                <w:sz w:val="18"/>
                <w:szCs w:val="18"/>
              </w:rPr>
              <w:t>二次开户  □是    □否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7" w:hRule="exact"/>
          <w:jc w:val="center"/>
        </w:trPr>
        <w:tc>
          <w:tcPr>
            <w:tcW w:w="990" w:type="dxa"/>
            <w:vMerge w:val="continue"/>
            <w:tcBorders>
              <w:tl2br w:val="nil"/>
              <w:tr2bl w:val="nil"/>
            </w:tcBorders>
            <w:shd w:val="clear" w:color="auto" w:fill="auto"/>
            <w:vAlign w:val="center"/>
          </w:tcPr>
          <w:p>
            <w:pPr>
              <w:rPr>
                <w:rFonts w:ascii="仿宋" w:hAnsi="仿宋" w:eastAsia="仿宋" w:cstheme="minorEastAsia"/>
                <w:b/>
                <w:bCs/>
                <w:sz w:val="18"/>
                <w:szCs w:val="18"/>
              </w:rPr>
            </w:pPr>
          </w:p>
        </w:tc>
        <w:tc>
          <w:tcPr>
            <w:tcW w:w="2186" w:type="dxa"/>
            <w:gridSpan w:val="3"/>
            <w:tcBorders>
              <w:tl2br w:val="nil"/>
              <w:tr2bl w:val="nil"/>
            </w:tcBorders>
            <w:shd w:val="clear" w:color="auto" w:fill="auto"/>
            <w:vAlign w:val="center"/>
          </w:tcPr>
          <w:p>
            <w:pPr>
              <w:jc w:val="center"/>
              <w:rPr>
                <w:rFonts w:ascii="仿宋" w:hAnsi="仿宋" w:eastAsia="仿宋" w:cstheme="minorEastAsia"/>
                <w:b/>
                <w:bCs/>
                <w:sz w:val="18"/>
                <w:szCs w:val="18"/>
              </w:rPr>
            </w:pPr>
            <w:r>
              <w:rPr>
                <w:rFonts w:hint="eastAsia" w:ascii="仿宋" w:hAnsi="仿宋" w:eastAsia="仿宋" w:cstheme="minorEastAsia"/>
                <w:b/>
                <w:bCs/>
                <w:sz w:val="18"/>
                <w:szCs w:val="18"/>
              </w:rPr>
              <w:t>大连商品交易所</w:t>
            </w:r>
          </w:p>
        </w:tc>
        <w:tc>
          <w:tcPr>
            <w:tcW w:w="7148" w:type="dxa"/>
            <w:gridSpan w:val="8"/>
            <w:tcBorders>
              <w:tl2br w:val="nil"/>
              <w:tr2bl w:val="nil"/>
            </w:tcBorders>
            <w:shd w:val="clear" w:color="auto" w:fill="auto"/>
            <w:vAlign w:val="center"/>
          </w:tcPr>
          <w:p>
            <w:pPr>
              <w:jc w:val="left"/>
              <w:rPr>
                <w:rFonts w:ascii="仿宋" w:hAnsi="仿宋" w:eastAsia="仿宋" w:cstheme="minorEastAsia"/>
                <w:sz w:val="18"/>
                <w:szCs w:val="18"/>
              </w:rPr>
            </w:pPr>
            <w:r>
              <w:rPr>
                <w:rFonts w:hint="eastAsia" w:ascii="仿宋" w:hAnsi="仿宋" w:eastAsia="仿宋" w:cstheme="minorEastAsia"/>
                <w:sz w:val="18"/>
                <w:szCs w:val="18"/>
              </w:rPr>
              <w:t xml:space="preserve">特定品种期货合约权限□    </w:t>
            </w:r>
            <w:r>
              <w:rPr>
                <w:rFonts w:ascii="仿宋" w:hAnsi="仿宋" w:eastAsia="仿宋" w:cstheme="minorEastAsia"/>
                <w:sz w:val="18"/>
                <w:szCs w:val="18"/>
              </w:rPr>
              <w:t xml:space="preserve"> </w:t>
            </w:r>
            <w:r>
              <w:rPr>
                <w:rFonts w:hint="eastAsia" w:ascii="仿宋" w:hAnsi="仿宋" w:eastAsia="仿宋" w:cstheme="minorEastAsia"/>
                <w:sz w:val="18"/>
                <w:szCs w:val="18"/>
              </w:rPr>
              <w:t>期权合约交易权限□       二次开户  □是    □否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7" w:hRule="exact"/>
          <w:jc w:val="center"/>
        </w:trPr>
        <w:tc>
          <w:tcPr>
            <w:tcW w:w="990" w:type="dxa"/>
            <w:vMerge w:val="continue"/>
            <w:tcBorders>
              <w:tl2br w:val="nil"/>
              <w:tr2bl w:val="nil"/>
            </w:tcBorders>
            <w:shd w:val="clear" w:color="auto" w:fill="auto"/>
            <w:vAlign w:val="center"/>
          </w:tcPr>
          <w:p>
            <w:pPr>
              <w:rPr>
                <w:rFonts w:ascii="仿宋" w:hAnsi="仿宋" w:eastAsia="仿宋" w:cstheme="minorEastAsia"/>
                <w:b/>
                <w:bCs/>
                <w:sz w:val="18"/>
                <w:szCs w:val="18"/>
              </w:rPr>
            </w:pPr>
          </w:p>
        </w:tc>
        <w:tc>
          <w:tcPr>
            <w:tcW w:w="2186" w:type="dxa"/>
            <w:gridSpan w:val="3"/>
            <w:tcBorders>
              <w:tl2br w:val="nil"/>
              <w:tr2bl w:val="nil"/>
            </w:tcBorders>
            <w:shd w:val="clear" w:color="auto" w:fill="auto"/>
            <w:vAlign w:val="center"/>
          </w:tcPr>
          <w:p>
            <w:pPr>
              <w:jc w:val="center"/>
              <w:rPr>
                <w:rFonts w:ascii="仿宋" w:hAnsi="仿宋" w:eastAsia="仿宋" w:cstheme="minorEastAsia"/>
                <w:b/>
                <w:bCs/>
                <w:sz w:val="18"/>
                <w:szCs w:val="18"/>
              </w:rPr>
            </w:pPr>
            <w:r>
              <w:rPr>
                <w:rFonts w:hint="eastAsia" w:ascii="仿宋" w:hAnsi="仿宋" w:eastAsia="仿宋" w:cstheme="minorEastAsia"/>
                <w:b/>
                <w:bCs/>
                <w:sz w:val="18"/>
                <w:szCs w:val="18"/>
              </w:rPr>
              <w:t>郑州商品交易所</w:t>
            </w:r>
          </w:p>
        </w:tc>
        <w:tc>
          <w:tcPr>
            <w:tcW w:w="7148" w:type="dxa"/>
            <w:gridSpan w:val="8"/>
            <w:tcBorders>
              <w:tl2br w:val="nil"/>
              <w:tr2bl w:val="nil"/>
            </w:tcBorders>
            <w:shd w:val="clear" w:color="auto" w:fill="auto"/>
            <w:vAlign w:val="center"/>
          </w:tcPr>
          <w:p>
            <w:pPr>
              <w:jc w:val="left"/>
              <w:rPr>
                <w:rFonts w:ascii="仿宋" w:hAnsi="仿宋" w:eastAsia="仿宋" w:cstheme="minorEastAsia"/>
                <w:sz w:val="18"/>
                <w:szCs w:val="18"/>
              </w:rPr>
            </w:pPr>
            <w:r>
              <w:rPr>
                <w:rFonts w:hint="eastAsia" w:ascii="仿宋" w:hAnsi="仿宋" w:eastAsia="仿宋" w:cstheme="minorEastAsia"/>
                <w:sz w:val="18"/>
                <w:szCs w:val="18"/>
              </w:rPr>
              <w:t>特定品种期货合约权限□     期权合约交易权限□       二次开户  □是    □否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7" w:hRule="exact"/>
          <w:jc w:val="center"/>
        </w:trPr>
        <w:tc>
          <w:tcPr>
            <w:tcW w:w="990" w:type="dxa"/>
            <w:vMerge w:val="continue"/>
            <w:tcBorders>
              <w:tl2br w:val="nil"/>
              <w:tr2bl w:val="nil"/>
            </w:tcBorders>
            <w:shd w:val="clear" w:color="auto" w:fill="auto"/>
            <w:vAlign w:val="center"/>
          </w:tcPr>
          <w:p>
            <w:pPr>
              <w:rPr>
                <w:rFonts w:ascii="仿宋" w:hAnsi="仿宋" w:eastAsia="仿宋" w:cstheme="minorEastAsia"/>
                <w:b/>
                <w:bCs/>
                <w:sz w:val="18"/>
                <w:szCs w:val="18"/>
              </w:rPr>
            </w:pPr>
          </w:p>
        </w:tc>
        <w:tc>
          <w:tcPr>
            <w:tcW w:w="2186" w:type="dxa"/>
            <w:gridSpan w:val="3"/>
            <w:tcBorders>
              <w:tl2br w:val="nil"/>
              <w:tr2bl w:val="nil"/>
            </w:tcBorders>
            <w:shd w:val="clear" w:color="auto" w:fill="auto"/>
            <w:vAlign w:val="center"/>
          </w:tcPr>
          <w:p>
            <w:pPr>
              <w:jc w:val="center"/>
              <w:rPr>
                <w:rFonts w:hint="eastAsia" w:ascii="仿宋" w:hAnsi="仿宋" w:eastAsia="仿宋" w:cstheme="minorEastAsia"/>
                <w:b/>
                <w:bCs/>
                <w:sz w:val="18"/>
                <w:szCs w:val="18"/>
              </w:rPr>
            </w:pPr>
            <w:r>
              <w:rPr>
                <w:rFonts w:hint="eastAsia" w:ascii="仿宋" w:hAnsi="仿宋" w:eastAsia="仿宋" w:cstheme="minorEastAsia"/>
                <w:b/>
                <w:bCs/>
                <w:sz w:val="18"/>
                <w:szCs w:val="18"/>
              </w:rPr>
              <w:t>中国金融期货交易所</w:t>
            </w:r>
          </w:p>
        </w:tc>
        <w:tc>
          <w:tcPr>
            <w:tcW w:w="7148" w:type="dxa"/>
            <w:gridSpan w:val="8"/>
            <w:tcBorders>
              <w:tl2br w:val="nil"/>
              <w:tr2bl w:val="nil"/>
            </w:tcBorders>
            <w:shd w:val="clear" w:color="auto" w:fill="auto"/>
            <w:vAlign w:val="center"/>
          </w:tcPr>
          <w:p>
            <w:pPr>
              <w:ind w:firstLine="1080" w:firstLineChars="600"/>
              <w:jc w:val="both"/>
              <w:rPr>
                <w:rFonts w:hint="eastAsia" w:ascii="仿宋" w:hAnsi="仿宋" w:eastAsia="仿宋" w:cstheme="minorEastAsia"/>
                <w:sz w:val="18"/>
                <w:szCs w:val="18"/>
              </w:rPr>
            </w:pPr>
            <w:r>
              <w:rPr>
                <w:rFonts w:hint="eastAsia" w:ascii="仿宋" w:hAnsi="仿宋" w:eastAsia="仿宋" w:cstheme="minorEastAsia"/>
                <w:sz w:val="18"/>
                <w:szCs w:val="18"/>
                <w:lang w:val="en-US" w:eastAsia="zh-CN"/>
              </w:rPr>
              <w:t>金融</w:t>
            </w:r>
            <w:r>
              <w:rPr>
                <w:rFonts w:hint="eastAsia" w:ascii="仿宋" w:hAnsi="仿宋" w:eastAsia="仿宋" w:cstheme="minorEastAsia"/>
                <w:sz w:val="18"/>
                <w:szCs w:val="18"/>
              </w:rPr>
              <w:t xml:space="preserve">期货□ </w:t>
            </w:r>
            <w:r>
              <w:rPr>
                <w:rFonts w:hint="eastAsia" w:ascii="仿宋" w:hAnsi="仿宋" w:eastAsia="仿宋" w:cstheme="minorEastAsia"/>
                <w:sz w:val="18"/>
                <w:szCs w:val="18"/>
                <w:lang w:val="en-US" w:eastAsia="zh-CN"/>
              </w:rPr>
              <w:t xml:space="preserve"> </w:t>
            </w:r>
            <w:r>
              <w:rPr>
                <w:rFonts w:hint="eastAsia" w:ascii="仿宋" w:hAnsi="仿宋" w:eastAsia="仿宋" w:cstheme="minorEastAsia"/>
                <w:sz w:val="18"/>
                <w:szCs w:val="18"/>
              </w:rPr>
              <w:t xml:space="preserve">   期权合约交易权限□       二次开户  □是    □否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8" w:hRule="exact"/>
          <w:jc w:val="center"/>
        </w:trPr>
        <w:tc>
          <w:tcPr>
            <w:tcW w:w="10324" w:type="dxa"/>
            <w:gridSpan w:val="12"/>
            <w:tcBorders>
              <w:tl2br w:val="nil"/>
              <w:tr2bl w:val="nil"/>
            </w:tcBorders>
            <w:shd w:val="clear" w:color="auto" w:fill="auto"/>
            <w:vAlign w:val="center"/>
          </w:tcPr>
          <w:p>
            <w:pPr>
              <w:widowControl/>
              <w:spacing w:line="260" w:lineRule="exact"/>
              <w:jc w:val="left"/>
              <w:rPr>
                <w:rFonts w:ascii="仿宋" w:hAnsi="仿宋" w:eastAsia="仿宋" w:cstheme="minorEastAsia"/>
                <w:sz w:val="18"/>
                <w:szCs w:val="18"/>
              </w:rPr>
            </w:pPr>
            <w:r>
              <w:rPr>
                <w:rFonts w:hint="eastAsia" w:ascii="仿宋" w:hAnsi="仿宋" w:eastAsia="仿宋" w:cstheme="minorEastAsia"/>
                <w:sz w:val="18"/>
                <w:szCs w:val="18"/>
              </w:rPr>
              <w:t>本人/单位承诺：</w:t>
            </w:r>
          </w:p>
          <w:p>
            <w:pPr>
              <w:widowControl/>
              <w:spacing w:line="260" w:lineRule="exact"/>
              <w:jc w:val="left"/>
              <w:rPr>
                <w:rFonts w:ascii="仿宋" w:hAnsi="仿宋" w:eastAsia="仿宋" w:cstheme="minorEastAsia"/>
                <w:sz w:val="18"/>
                <w:szCs w:val="18"/>
              </w:rPr>
            </w:pPr>
            <w:r>
              <w:rPr>
                <w:rFonts w:hint="eastAsia" w:ascii="仿宋" w:hAnsi="仿宋" w:eastAsia="仿宋" w:cstheme="minorEastAsia"/>
                <w:sz w:val="18"/>
                <w:szCs w:val="18"/>
              </w:rPr>
              <w:t>1.本人具有完全民事行为能力。</w:t>
            </w:r>
          </w:p>
          <w:p>
            <w:pPr>
              <w:pStyle w:val="8"/>
              <w:widowControl/>
              <w:spacing w:line="260" w:lineRule="exact"/>
              <w:ind w:firstLine="0" w:firstLineChars="0"/>
              <w:jc w:val="left"/>
              <w:rPr>
                <w:rFonts w:ascii="仿宋" w:hAnsi="仿宋" w:eastAsia="仿宋" w:cstheme="minorEastAsia"/>
                <w:sz w:val="18"/>
                <w:szCs w:val="18"/>
              </w:rPr>
            </w:pPr>
            <w:r>
              <w:rPr>
                <w:rFonts w:hint="eastAsia" w:ascii="仿宋" w:hAnsi="仿宋" w:eastAsia="仿宋" w:cstheme="minorEastAsia"/>
                <w:sz w:val="18"/>
                <w:szCs w:val="18"/>
              </w:rPr>
              <w:t>2.本人/单位有能力承担风险，并保证资金来源的合法性，所提供关于</w:t>
            </w:r>
            <w:r>
              <w:rPr>
                <w:rFonts w:hint="eastAsia" w:ascii="仿宋" w:hAnsi="仿宋" w:eastAsia="仿宋" w:cstheme="minorEastAsia"/>
                <w:sz w:val="18"/>
                <w:szCs w:val="18"/>
                <w:lang w:val="en-US" w:eastAsia="zh-CN"/>
              </w:rPr>
              <w:t>金融期货、</w:t>
            </w:r>
            <w:r>
              <w:rPr>
                <w:rFonts w:hint="eastAsia" w:ascii="仿宋" w:hAnsi="仿宋" w:eastAsia="仿宋" w:cstheme="minorEastAsia"/>
                <w:sz w:val="18"/>
                <w:szCs w:val="18"/>
              </w:rPr>
              <w:t>特定品种、期权的适当性材料真实、准确、完整、有效；</w:t>
            </w:r>
          </w:p>
          <w:p>
            <w:pPr>
              <w:widowControl/>
              <w:spacing w:line="260" w:lineRule="exact"/>
              <w:jc w:val="left"/>
              <w:rPr>
                <w:rFonts w:ascii="仿宋" w:hAnsi="仿宋" w:eastAsia="仿宋" w:cstheme="minorEastAsia"/>
                <w:sz w:val="18"/>
                <w:szCs w:val="18"/>
              </w:rPr>
            </w:pPr>
            <w:r>
              <w:rPr>
                <w:rFonts w:hint="eastAsia" w:ascii="仿宋" w:hAnsi="仿宋" w:eastAsia="仿宋" w:cstheme="minorEastAsia"/>
                <w:sz w:val="18"/>
                <w:szCs w:val="18"/>
              </w:rPr>
              <w:t>3.本人/单位主动申请办理</w:t>
            </w:r>
            <w:r>
              <w:rPr>
                <w:rFonts w:hint="eastAsia" w:ascii="仿宋" w:hAnsi="仿宋" w:eastAsia="仿宋" w:cstheme="minorEastAsia"/>
                <w:sz w:val="18"/>
                <w:szCs w:val="18"/>
                <w:lang w:val="en-US" w:eastAsia="zh-CN"/>
              </w:rPr>
              <w:t>金融期货、</w:t>
            </w:r>
            <w:r>
              <w:rPr>
                <w:rFonts w:hint="eastAsia" w:ascii="仿宋" w:hAnsi="仿宋" w:eastAsia="仿宋" w:cstheme="minorEastAsia"/>
                <w:sz w:val="18"/>
                <w:szCs w:val="18"/>
              </w:rPr>
              <w:t>特定品种期货合约权限、期权合约交易权限开通；</w:t>
            </w:r>
          </w:p>
          <w:p>
            <w:pPr>
              <w:widowControl/>
              <w:spacing w:line="260" w:lineRule="exact"/>
              <w:jc w:val="left"/>
              <w:rPr>
                <w:rFonts w:ascii="仿宋" w:hAnsi="仿宋" w:eastAsia="仿宋" w:cstheme="minorEastAsia"/>
                <w:sz w:val="18"/>
                <w:szCs w:val="18"/>
              </w:rPr>
            </w:pPr>
            <w:r>
              <w:rPr>
                <w:rFonts w:hint="eastAsia" w:ascii="仿宋" w:hAnsi="仿宋" w:eastAsia="仿宋" w:cstheme="minorEastAsia"/>
                <w:sz w:val="18"/>
                <w:szCs w:val="18"/>
              </w:rPr>
              <w:t>4.本人/单位指令下达人</w:t>
            </w:r>
            <w:r>
              <w:rPr>
                <w:rFonts w:hint="eastAsia" w:ascii="仿宋" w:hAnsi="仿宋" w:eastAsia="仿宋" w:cstheme="minorEastAsia"/>
                <w:kern w:val="0"/>
                <w:sz w:val="18"/>
                <w:szCs w:val="18"/>
              </w:rPr>
              <w:t>具备期货交易基础知识，了解</w:t>
            </w:r>
            <w:r>
              <w:rPr>
                <w:rFonts w:hint="eastAsia" w:ascii="仿宋" w:hAnsi="仿宋" w:eastAsia="仿宋" w:cstheme="minorEastAsia"/>
                <w:kern w:val="0"/>
                <w:sz w:val="18"/>
                <w:szCs w:val="18"/>
                <w:lang w:val="en-US" w:eastAsia="zh-CN"/>
              </w:rPr>
              <w:t>金融期货、</w:t>
            </w:r>
            <w:r>
              <w:rPr>
                <w:rFonts w:hint="eastAsia" w:ascii="仿宋" w:hAnsi="仿宋" w:eastAsia="仿宋" w:cstheme="minorEastAsia"/>
                <w:sz w:val="18"/>
                <w:szCs w:val="18"/>
              </w:rPr>
              <w:t>特定品种期货合约、期权合约</w:t>
            </w:r>
            <w:r>
              <w:rPr>
                <w:rFonts w:hint="eastAsia" w:ascii="仿宋" w:hAnsi="仿宋" w:eastAsia="仿宋" w:cstheme="minorEastAsia"/>
                <w:kern w:val="0"/>
                <w:sz w:val="18"/>
                <w:szCs w:val="18"/>
              </w:rPr>
              <w:t>相关业务规则、产品特征</w:t>
            </w:r>
            <w:r>
              <w:rPr>
                <w:rFonts w:hint="eastAsia" w:ascii="仿宋" w:hAnsi="仿宋" w:eastAsia="仿宋" w:cstheme="minorEastAsia"/>
                <w:sz w:val="18"/>
                <w:szCs w:val="18"/>
              </w:rPr>
              <w:t>；</w:t>
            </w:r>
          </w:p>
          <w:p>
            <w:pPr>
              <w:widowControl/>
              <w:spacing w:line="260" w:lineRule="exact"/>
              <w:jc w:val="left"/>
              <w:rPr>
                <w:rFonts w:ascii="仿宋" w:hAnsi="仿宋" w:eastAsia="仿宋" w:cstheme="minorEastAsia"/>
                <w:sz w:val="18"/>
                <w:szCs w:val="18"/>
              </w:rPr>
            </w:pPr>
            <w:r>
              <w:rPr>
                <w:rFonts w:hint="eastAsia" w:ascii="仿宋" w:hAnsi="仿宋" w:eastAsia="仿宋" w:cstheme="minorEastAsia"/>
                <w:sz w:val="18"/>
                <w:szCs w:val="18"/>
              </w:rPr>
              <w:t>5.本人/单位承诺，</w:t>
            </w:r>
            <w:r>
              <w:rPr>
                <w:rFonts w:hint="eastAsia" w:ascii="仿宋" w:hAnsi="仿宋" w:eastAsia="仿宋" w:cstheme="minorEastAsia"/>
                <w:sz w:val="18"/>
                <w:szCs w:val="18"/>
                <w:lang w:val="en-US" w:eastAsia="zh-CN"/>
              </w:rPr>
              <w:t>金融期货、</w:t>
            </w:r>
            <w:r>
              <w:rPr>
                <w:rFonts w:hint="eastAsia" w:ascii="仿宋" w:hAnsi="仿宋" w:eastAsia="仿宋" w:cstheme="minorEastAsia"/>
                <w:sz w:val="18"/>
                <w:szCs w:val="18"/>
              </w:rPr>
              <w:t>特定品种、期权知识测试（如有）由本人/本单位独立、自主完成，本人/本单位对测试成绩负责。</w:t>
            </w:r>
          </w:p>
          <w:p>
            <w:pPr>
              <w:pStyle w:val="8"/>
              <w:widowControl/>
              <w:spacing w:line="260" w:lineRule="exact"/>
              <w:ind w:firstLine="0" w:firstLineChars="0"/>
              <w:jc w:val="left"/>
              <w:rPr>
                <w:rFonts w:ascii="仿宋" w:hAnsi="仿宋" w:eastAsia="仿宋" w:cstheme="minorEastAsia"/>
                <w:sz w:val="18"/>
                <w:szCs w:val="18"/>
              </w:rPr>
            </w:pPr>
            <w:r>
              <w:rPr>
                <w:rFonts w:hint="eastAsia" w:ascii="仿宋" w:hAnsi="仿宋" w:eastAsia="仿宋" w:cstheme="minorEastAsia"/>
                <w:sz w:val="18"/>
                <w:szCs w:val="18"/>
              </w:rPr>
              <w:t>6.本人/单位不存在严重不良诚信记录或者被有监管权机关宣布为期货市场禁止进入者的情形；不存在法律、法规、规章和期货交易所业务规则禁止或者限制从事期货交易的情形。</w:t>
            </w:r>
          </w:p>
          <w:p>
            <w:pPr>
              <w:spacing w:line="260" w:lineRule="exact"/>
              <w:ind w:firstLine="3072" w:firstLineChars="1700"/>
              <w:rPr>
                <w:rFonts w:ascii="仿宋" w:hAnsi="仿宋" w:eastAsia="仿宋" w:cstheme="minorEastAsia"/>
                <w:sz w:val="18"/>
                <w:szCs w:val="18"/>
              </w:rPr>
            </w:pPr>
            <w:r>
              <w:rPr>
                <w:rFonts w:hint="eastAsia" w:ascii="仿宋" w:hAnsi="仿宋" w:eastAsia="仿宋" w:cstheme="minorEastAsia"/>
                <w:b/>
                <w:bCs/>
                <w:sz w:val="18"/>
                <w:szCs w:val="18"/>
              </w:rPr>
              <w:t>客户签字</w:t>
            </w:r>
            <w:r>
              <w:rPr>
                <w:rFonts w:hint="eastAsia" w:ascii="仿宋" w:hAnsi="仿宋" w:eastAsia="仿宋" w:cstheme="minorEastAsia"/>
                <w:sz w:val="18"/>
                <w:szCs w:val="18"/>
              </w:rPr>
              <w:t>：</w:t>
            </w:r>
          </w:p>
          <w:p>
            <w:pPr>
              <w:spacing w:line="260" w:lineRule="exact"/>
              <w:rPr>
                <w:rFonts w:ascii="仿宋" w:hAnsi="仿宋" w:eastAsia="仿宋" w:cstheme="minorEastAsia"/>
                <w:b/>
                <w:bCs/>
                <w:sz w:val="18"/>
                <w:szCs w:val="18"/>
              </w:rPr>
            </w:pPr>
            <w:r>
              <w:rPr>
                <w:rFonts w:hint="eastAsia" w:ascii="仿宋" w:hAnsi="仿宋" w:eastAsia="仿宋" w:cstheme="minorEastAsia"/>
                <w:sz w:val="18"/>
                <w:szCs w:val="18"/>
              </w:rPr>
              <w:t xml:space="preserve">（单位客户法定代表人（负责人）或授权代表人签字并加盖公章）                    </w:t>
            </w:r>
            <w:r>
              <w:rPr>
                <w:rFonts w:ascii="仿宋" w:hAnsi="仿宋" w:eastAsia="仿宋" w:cstheme="minorEastAsia"/>
                <w:sz w:val="18"/>
                <w:szCs w:val="18"/>
              </w:rPr>
              <w:t xml:space="preserve">  </w:t>
            </w:r>
            <w:r>
              <w:rPr>
                <w:rFonts w:hint="eastAsia" w:ascii="仿宋" w:hAnsi="仿宋" w:eastAsia="仿宋" w:cstheme="minorEastAsia"/>
                <w:sz w:val="18"/>
                <w:szCs w:val="18"/>
              </w:rPr>
              <w:t>申请日期：      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0" w:hRule="exact"/>
          <w:jc w:val="center"/>
        </w:trPr>
        <w:tc>
          <w:tcPr>
            <w:tcW w:w="10324" w:type="dxa"/>
            <w:gridSpan w:val="12"/>
            <w:tcBorders>
              <w:tl2br w:val="nil"/>
              <w:tr2bl w:val="nil"/>
            </w:tcBorders>
            <w:shd w:val="clear" w:color="auto" w:fill="D7D7D7" w:themeFill="background1" w:themeFillShade="D8"/>
            <w:vAlign w:val="center"/>
          </w:tcPr>
          <w:p>
            <w:pPr>
              <w:spacing w:line="276" w:lineRule="auto"/>
              <w:rPr>
                <w:rFonts w:ascii="仿宋" w:hAnsi="仿宋" w:eastAsia="仿宋" w:cstheme="minorEastAsia"/>
                <w:b/>
                <w:bCs/>
                <w:sz w:val="18"/>
                <w:szCs w:val="18"/>
              </w:rPr>
            </w:pPr>
            <w:r>
              <w:rPr>
                <w:rFonts w:hint="eastAsia" w:ascii="仿宋" w:hAnsi="仿宋" w:eastAsia="仿宋" w:cstheme="minorEastAsia"/>
                <w:b/>
                <w:bCs/>
                <w:sz w:val="18"/>
                <w:szCs w:val="18"/>
              </w:rPr>
              <w:t>二、基本信息及知识测试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exact"/>
          <w:jc w:val="center"/>
        </w:trPr>
        <w:tc>
          <w:tcPr>
            <w:tcW w:w="10324" w:type="dxa"/>
            <w:gridSpan w:val="12"/>
            <w:tcBorders>
              <w:tl2br w:val="nil"/>
              <w:tr2bl w:val="nil"/>
            </w:tcBorders>
            <w:shd w:val="clear" w:color="auto" w:fill="D7D7D7" w:themeFill="background1" w:themeFillShade="D8"/>
            <w:vAlign w:val="center"/>
          </w:tcPr>
          <w:p>
            <w:pPr>
              <w:spacing w:line="276" w:lineRule="auto"/>
              <w:rPr>
                <w:rFonts w:ascii="仿宋" w:hAnsi="仿宋" w:eastAsia="仿宋" w:cstheme="minorEastAsia"/>
                <w:b/>
                <w:bCs/>
                <w:sz w:val="18"/>
                <w:szCs w:val="18"/>
              </w:rPr>
            </w:pPr>
            <w:r>
              <w:rPr>
                <w:rFonts w:hint="eastAsia" w:ascii="仿宋" w:hAnsi="仿宋" w:eastAsia="仿宋" w:cstheme="minorEastAsia"/>
                <w:b/>
                <w:bCs/>
                <w:sz w:val="18"/>
                <w:szCs w:val="18"/>
              </w:rPr>
              <w:t xml:space="preserve">（一）自然人客户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9" w:hRule="exact"/>
          <w:jc w:val="center"/>
        </w:trPr>
        <w:tc>
          <w:tcPr>
            <w:tcW w:w="3176" w:type="dxa"/>
            <w:gridSpan w:val="4"/>
            <w:tcBorders>
              <w:tl2br w:val="nil"/>
              <w:tr2bl w:val="nil"/>
            </w:tcBorders>
            <w:shd w:val="clear" w:color="auto" w:fill="auto"/>
            <w:vAlign w:val="center"/>
          </w:tcPr>
          <w:p>
            <w:pPr>
              <w:spacing w:line="276" w:lineRule="auto"/>
              <w:jc w:val="left"/>
              <w:rPr>
                <w:rFonts w:ascii="仿宋" w:hAnsi="仿宋" w:eastAsia="仿宋" w:cstheme="minorEastAsia"/>
                <w:b/>
                <w:bCs/>
                <w:sz w:val="18"/>
                <w:szCs w:val="18"/>
              </w:rPr>
            </w:pPr>
            <w:r>
              <w:rPr>
                <w:rFonts w:hint="eastAsia" w:ascii="仿宋" w:hAnsi="仿宋" w:eastAsia="仿宋" w:cstheme="minorEastAsia"/>
                <w:sz w:val="18"/>
                <w:szCs w:val="18"/>
              </w:rPr>
              <w:t>1.具备完全民事行为能力</w:t>
            </w:r>
          </w:p>
        </w:tc>
        <w:tc>
          <w:tcPr>
            <w:tcW w:w="1988" w:type="dxa"/>
            <w:tcBorders>
              <w:tl2br w:val="nil"/>
              <w:tr2bl w:val="nil"/>
            </w:tcBorders>
            <w:shd w:val="clear" w:color="auto" w:fill="auto"/>
            <w:vAlign w:val="center"/>
          </w:tcPr>
          <w:p>
            <w:pPr>
              <w:spacing w:line="276" w:lineRule="auto"/>
              <w:jc w:val="left"/>
              <w:rPr>
                <w:rFonts w:ascii="仿宋" w:hAnsi="仿宋" w:eastAsia="仿宋" w:cstheme="minorEastAsia"/>
                <w:b/>
                <w:bCs/>
                <w:sz w:val="18"/>
                <w:szCs w:val="18"/>
              </w:rPr>
            </w:pPr>
            <w:r>
              <w:rPr>
                <w:rFonts w:hint="eastAsia" w:ascii="仿宋" w:hAnsi="仿宋" w:eastAsia="仿宋" w:cstheme="minorEastAsia"/>
                <w:sz w:val="18"/>
                <w:szCs w:val="18"/>
              </w:rPr>
              <w:t>□是    □否</w:t>
            </w:r>
          </w:p>
        </w:tc>
        <w:tc>
          <w:tcPr>
            <w:tcW w:w="3450" w:type="dxa"/>
            <w:gridSpan w:val="6"/>
            <w:tcBorders>
              <w:tl2br w:val="nil"/>
              <w:tr2bl w:val="nil"/>
            </w:tcBorders>
            <w:shd w:val="clear" w:color="auto" w:fill="auto"/>
            <w:vAlign w:val="center"/>
          </w:tcPr>
          <w:p>
            <w:pPr>
              <w:spacing w:line="276" w:lineRule="auto"/>
              <w:jc w:val="left"/>
              <w:rPr>
                <w:rFonts w:ascii="仿宋" w:hAnsi="仿宋" w:eastAsia="仿宋" w:cstheme="minorEastAsia"/>
                <w:b/>
                <w:bCs/>
                <w:sz w:val="18"/>
                <w:szCs w:val="18"/>
              </w:rPr>
            </w:pPr>
            <w:r>
              <w:rPr>
                <w:rFonts w:ascii="仿宋" w:hAnsi="仿宋" w:eastAsia="仿宋" w:cstheme="minorEastAsia"/>
                <w:sz w:val="18"/>
                <w:szCs w:val="18"/>
              </w:rPr>
              <w:t>2</w:t>
            </w:r>
            <w:r>
              <w:rPr>
                <w:rFonts w:hint="eastAsia" w:ascii="仿宋" w:hAnsi="仿宋" w:eastAsia="仿宋" w:cstheme="minorEastAsia"/>
                <w:sz w:val="18"/>
                <w:szCs w:val="18"/>
              </w:rPr>
              <w:t>.身份证明文件是否有效、一致</w:t>
            </w:r>
          </w:p>
        </w:tc>
        <w:tc>
          <w:tcPr>
            <w:tcW w:w="1710" w:type="dxa"/>
            <w:tcBorders>
              <w:tl2br w:val="nil"/>
              <w:tr2bl w:val="nil"/>
            </w:tcBorders>
            <w:shd w:val="clear" w:color="auto" w:fill="auto"/>
            <w:vAlign w:val="center"/>
          </w:tcPr>
          <w:p>
            <w:pPr>
              <w:spacing w:line="276" w:lineRule="auto"/>
              <w:jc w:val="left"/>
              <w:rPr>
                <w:rFonts w:ascii="仿宋" w:hAnsi="仿宋" w:eastAsia="仿宋" w:cstheme="minorEastAsia"/>
                <w:b/>
                <w:bCs/>
                <w:sz w:val="18"/>
                <w:szCs w:val="18"/>
              </w:rPr>
            </w:pPr>
            <w:r>
              <w:rPr>
                <w:rFonts w:hint="eastAsia" w:ascii="仿宋" w:hAnsi="仿宋" w:eastAsia="仿宋" w:cstheme="minorEastAsia"/>
                <w:sz w:val="18"/>
                <w:szCs w:val="18"/>
                <w:lang w:eastAsia="zh-CN"/>
              </w:rPr>
              <w:t>□</w:t>
            </w:r>
            <w:r>
              <w:rPr>
                <w:rFonts w:hint="eastAsia" w:ascii="仿宋" w:hAnsi="仿宋" w:eastAsia="仿宋" w:cstheme="minorEastAsia"/>
                <w:sz w:val="18"/>
                <w:szCs w:val="18"/>
              </w:rPr>
              <w:t xml:space="preserve">是  </w:t>
            </w:r>
            <w:r>
              <w:rPr>
                <w:rFonts w:hint="eastAsia" w:ascii="仿宋" w:hAnsi="仿宋" w:eastAsia="仿宋" w:cstheme="minorEastAsia"/>
                <w:sz w:val="18"/>
                <w:szCs w:val="18"/>
                <w:lang w:val="en-US" w:eastAsia="zh-CN"/>
              </w:rPr>
              <w:t xml:space="preserve"> </w:t>
            </w:r>
            <w:r>
              <w:rPr>
                <w:rFonts w:ascii="仿宋" w:hAnsi="仿宋" w:eastAsia="仿宋" w:cstheme="minorEastAsia"/>
                <w:sz w:val="18"/>
                <w:szCs w:val="18"/>
              </w:rPr>
              <w:t xml:space="preserve"> </w:t>
            </w:r>
            <w:r>
              <w:rPr>
                <w:rFonts w:hint="eastAsia" w:ascii="仿宋" w:hAnsi="仿宋" w:eastAsia="仿宋" w:cstheme="minorEastAsia"/>
                <w:sz w:val="18"/>
                <w:szCs w:val="18"/>
              </w:rP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9" w:hRule="exact"/>
          <w:jc w:val="center"/>
        </w:trPr>
        <w:tc>
          <w:tcPr>
            <w:tcW w:w="3176" w:type="dxa"/>
            <w:gridSpan w:val="4"/>
            <w:tcBorders>
              <w:tl2br w:val="nil"/>
              <w:tr2bl w:val="nil"/>
            </w:tcBorders>
            <w:shd w:val="clear" w:color="auto" w:fill="auto"/>
            <w:vAlign w:val="center"/>
          </w:tcPr>
          <w:p>
            <w:pPr>
              <w:spacing w:line="276" w:lineRule="auto"/>
              <w:jc w:val="left"/>
              <w:rPr>
                <w:rFonts w:ascii="仿宋" w:hAnsi="仿宋" w:eastAsia="仿宋" w:cstheme="minorEastAsia"/>
                <w:b/>
                <w:bCs/>
                <w:sz w:val="18"/>
                <w:szCs w:val="18"/>
              </w:rPr>
            </w:pPr>
            <w:r>
              <w:rPr>
                <w:rFonts w:ascii="仿宋" w:hAnsi="仿宋" w:eastAsia="仿宋" w:cstheme="minorEastAsia"/>
                <w:sz w:val="18"/>
                <w:szCs w:val="18"/>
              </w:rPr>
              <w:t>3</w:t>
            </w:r>
            <w:r>
              <w:rPr>
                <w:rFonts w:hint="eastAsia" w:ascii="仿宋" w:hAnsi="仿宋" w:eastAsia="仿宋" w:cstheme="minorEastAsia"/>
                <w:sz w:val="18"/>
                <w:szCs w:val="18"/>
              </w:rPr>
              <w:t>.基础知识测试</w:t>
            </w:r>
          </w:p>
        </w:tc>
        <w:tc>
          <w:tcPr>
            <w:tcW w:w="7148" w:type="dxa"/>
            <w:gridSpan w:val="8"/>
            <w:tcBorders>
              <w:tl2br w:val="nil"/>
              <w:tr2bl w:val="nil"/>
            </w:tcBorders>
            <w:shd w:val="clear" w:color="auto" w:fill="auto"/>
            <w:vAlign w:val="center"/>
          </w:tcPr>
          <w:p>
            <w:pPr>
              <w:spacing w:line="276" w:lineRule="auto"/>
              <w:jc w:val="left"/>
              <w:rPr>
                <w:rFonts w:ascii="仿宋" w:hAnsi="仿宋" w:eastAsia="仿宋" w:cstheme="minorEastAsia"/>
                <w:b/>
                <w:bCs/>
                <w:sz w:val="18"/>
                <w:szCs w:val="18"/>
              </w:rPr>
            </w:pPr>
            <w:r>
              <w:rPr>
                <w:rFonts w:hint="eastAsia" w:ascii="仿宋" w:hAnsi="仿宋" w:eastAsia="仿宋" w:cstheme="minorEastAsia"/>
                <w:sz w:val="18"/>
                <w:szCs w:val="18"/>
              </w:rPr>
              <w:t>日期：</w:t>
            </w:r>
            <w:r>
              <w:rPr>
                <w:rFonts w:hint="eastAsia" w:ascii="仿宋" w:hAnsi="仿宋" w:eastAsia="仿宋" w:cstheme="minorEastAsia"/>
                <w:sz w:val="18"/>
                <w:szCs w:val="18"/>
                <w:u w:val="single"/>
              </w:rPr>
              <w:t xml:space="preserve"> </w:t>
            </w:r>
            <w:r>
              <w:rPr>
                <w:rFonts w:ascii="仿宋" w:hAnsi="仿宋" w:eastAsia="仿宋" w:cstheme="minorEastAsia"/>
                <w:sz w:val="18"/>
                <w:szCs w:val="18"/>
                <w:u w:val="single"/>
              </w:rPr>
              <w:t xml:space="preserve">   </w:t>
            </w:r>
            <w:r>
              <w:rPr>
                <w:rFonts w:hint="eastAsia" w:ascii="仿宋" w:hAnsi="仿宋" w:eastAsia="仿宋" w:cstheme="minorEastAsia"/>
                <w:sz w:val="18"/>
                <w:szCs w:val="18"/>
                <w:u w:val="single"/>
              </w:rPr>
              <w:t xml:space="preserve">  </w:t>
            </w:r>
            <w:r>
              <w:rPr>
                <w:rFonts w:ascii="仿宋" w:hAnsi="仿宋" w:eastAsia="仿宋" w:cstheme="minorEastAsia"/>
                <w:sz w:val="18"/>
                <w:szCs w:val="18"/>
                <w:u w:val="single"/>
              </w:rPr>
              <w:t xml:space="preserve">    </w:t>
            </w:r>
            <w:r>
              <w:rPr>
                <w:rFonts w:hint="eastAsia" w:ascii="仿宋" w:hAnsi="仿宋" w:eastAsia="仿宋" w:cstheme="minorEastAsia"/>
                <w:sz w:val="18"/>
                <w:szCs w:val="18"/>
              </w:rPr>
              <w:t xml:space="preserve"> ；成绩：</w:t>
            </w:r>
            <w:r>
              <w:rPr>
                <w:rFonts w:hint="eastAsia" w:ascii="仿宋" w:hAnsi="仿宋" w:eastAsia="仿宋" w:cstheme="minorEastAsia"/>
                <w:sz w:val="18"/>
                <w:szCs w:val="18"/>
                <w:u w:val="single"/>
              </w:rPr>
              <w:t xml:space="preserve"> </w:t>
            </w:r>
            <w:r>
              <w:rPr>
                <w:rFonts w:ascii="仿宋" w:hAnsi="仿宋" w:eastAsia="仿宋" w:cstheme="minorEastAsia"/>
                <w:sz w:val="18"/>
                <w:szCs w:val="18"/>
                <w:u w:val="single"/>
              </w:rPr>
              <w:t xml:space="preserve">      </w:t>
            </w:r>
            <w:r>
              <w:rPr>
                <w:rFonts w:hint="eastAsia" w:ascii="仿宋" w:hAnsi="仿宋" w:eastAsia="仿宋" w:cstheme="minorEastAsia"/>
                <w:sz w:val="18"/>
                <w:szCs w:val="18"/>
              </w:rPr>
              <w:t>分；       监考人：</w:t>
            </w:r>
            <w:r>
              <w:rPr>
                <w:rFonts w:hint="eastAsia" w:ascii="仿宋" w:hAnsi="仿宋" w:eastAsia="仿宋" w:cstheme="minorEastAsia"/>
                <w:b/>
                <w:bCs/>
                <w:sz w:val="18"/>
                <w:szCs w:val="18"/>
              </w:rPr>
              <w:t>_________________；</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0" w:hRule="exact"/>
          <w:jc w:val="center"/>
        </w:trPr>
        <w:tc>
          <w:tcPr>
            <w:tcW w:w="10324" w:type="dxa"/>
            <w:gridSpan w:val="12"/>
            <w:tcBorders>
              <w:tl2br w:val="nil"/>
              <w:tr2bl w:val="nil"/>
            </w:tcBorders>
            <w:shd w:val="clear" w:color="auto" w:fill="D7D7D7" w:themeFill="background1" w:themeFillShade="D8"/>
            <w:vAlign w:val="center"/>
          </w:tcPr>
          <w:p>
            <w:pPr>
              <w:spacing w:line="276" w:lineRule="auto"/>
              <w:rPr>
                <w:rFonts w:ascii="仿宋" w:hAnsi="仿宋" w:eastAsia="仿宋" w:cstheme="minorEastAsia"/>
                <w:sz w:val="18"/>
                <w:szCs w:val="18"/>
              </w:rPr>
            </w:pPr>
            <w:r>
              <w:rPr>
                <w:rFonts w:hint="eastAsia" w:ascii="仿宋" w:hAnsi="仿宋" w:eastAsia="仿宋" w:cstheme="minorEastAsia"/>
                <w:b/>
                <w:bCs/>
                <w:sz w:val="18"/>
                <w:szCs w:val="18"/>
              </w:rPr>
              <w:t xml:space="preserve">（二）一般单位客户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9" w:hRule="exact"/>
          <w:jc w:val="center"/>
        </w:trPr>
        <w:tc>
          <w:tcPr>
            <w:tcW w:w="3176" w:type="dxa"/>
            <w:gridSpan w:val="4"/>
            <w:tcBorders>
              <w:tl2br w:val="nil"/>
              <w:tr2bl w:val="nil"/>
            </w:tcBorders>
            <w:shd w:val="clear" w:color="auto" w:fill="auto"/>
            <w:vAlign w:val="center"/>
          </w:tcPr>
          <w:p>
            <w:pPr>
              <w:spacing w:line="276" w:lineRule="auto"/>
              <w:jc w:val="left"/>
              <w:rPr>
                <w:rFonts w:ascii="仿宋" w:hAnsi="仿宋" w:eastAsia="仿宋" w:cstheme="minorEastAsia"/>
                <w:sz w:val="18"/>
                <w:szCs w:val="18"/>
              </w:rPr>
            </w:pPr>
            <w:r>
              <w:rPr>
                <w:rFonts w:ascii="仿宋" w:hAnsi="仿宋" w:eastAsia="仿宋" w:cstheme="minorEastAsia"/>
                <w:sz w:val="18"/>
                <w:szCs w:val="18"/>
              </w:rPr>
              <w:t>1</w:t>
            </w:r>
            <w:r>
              <w:rPr>
                <w:rFonts w:hint="eastAsia" w:ascii="仿宋" w:hAnsi="仿宋" w:eastAsia="仿宋" w:cstheme="minorEastAsia"/>
                <w:sz w:val="18"/>
                <w:szCs w:val="18"/>
              </w:rPr>
              <w:t>.身份证明文件是否有效、一致</w:t>
            </w:r>
          </w:p>
        </w:tc>
        <w:tc>
          <w:tcPr>
            <w:tcW w:w="1988" w:type="dxa"/>
            <w:tcBorders>
              <w:top w:val="single" w:color="auto" w:sz="4" w:space="0"/>
              <w:tl2br w:val="nil"/>
              <w:tr2bl w:val="nil"/>
            </w:tcBorders>
            <w:shd w:val="clear" w:color="auto" w:fill="auto"/>
            <w:vAlign w:val="center"/>
          </w:tcPr>
          <w:p>
            <w:pPr>
              <w:spacing w:line="276" w:lineRule="auto"/>
              <w:jc w:val="left"/>
              <w:rPr>
                <w:rFonts w:ascii="仿宋" w:hAnsi="仿宋" w:eastAsia="仿宋" w:cstheme="minorEastAsia"/>
                <w:sz w:val="18"/>
                <w:szCs w:val="18"/>
              </w:rPr>
            </w:pPr>
            <w:r>
              <w:rPr>
                <w:rFonts w:hint="eastAsia" w:ascii="仿宋" w:hAnsi="仿宋" w:eastAsia="仿宋" w:cstheme="minorEastAsia"/>
                <w:sz w:val="18"/>
                <w:szCs w:val="18"/>
              </w:rPr>
              <w:t xml:space="preserve">□是 </w:t>
            </w:r>
            <w:r>
              <w:rPr>
                <w:rFonts w:ascii="仿宋" w:hAnsi="仿宋" w:eastAsia="仿宋" w:cstheme="minorEastAsia"/>
                <w:sz w:val="18"/>
                <w:szCs w:val="18"/>
              </w:rPr>
              <w:t xml:space="preserve">   </w:t>
            </w:r>
            <w:r>
              <w:rPr>
                <w:rFonts w:hint="eastAsia" w:ascii="仿宋" w:hAnsi="仿宋" w:eastAsia="仿宋" w:cstheme="minorEastAsia"/>
                <w:sz w:val="18"/>
                <w:szCs w:val="18"/>
              </w:rPr>
              <w:t xml:space="preserve">□否           □否 </w:t>
            </w:r>
            <w:r>
              <w:rPr>
                <w:rFonts w:ascii="仿宋" w:hAnsi="仿宋" w:eastAsia="仿宋" w:cstheme="minorEastAsia"/>
                <w:sz w:val="18"/>
                <w:szCs w:val="18"/>
              </w:rPr>
              <w:t xml:space="preserve">   </w:t>
            </w:r>
          </w:p>
        </w:tc>
        <w:tc>
          <w:tcPr>
            <w:tcW w:w="3450" w:type="dxa"/>
            <w:gridSpan w:val="6"/>
            <w:tcBorders>
              <w:top w:val="single" w:color="auto" w:sz="4" w:space="0"/>
              <w:tl2br w:val="nil"/>
              <w:tr2bl w:val="nil"/>
            </w:tcBorders>
            <w:shd w:val="clear" w:color="auto" w:fill="auto"/>
            <w:vAlign w:val="center"/>
          </w:tcPr>
          <w:p>
            <w:pPr>
              <w:spacing w:line="276" w:lineRule="auto"/>
              <w:jc w:val="left"/>
              <w:rPr>
                <w:rFonts w:ascii="仿宋" w:hAnsi="仿宋" w:eastAsia="仿宋" w:cstheme="minorEastAsia"/>
                <w:sz w:val="18"/>
                <w:szCs w:val="18"/>
              </w:rPr>
            </w:pPr>
            <w:r>
              <w:rPr>
                <w:rFonts w:hint="eastAsia" w:ascii="仿宋" w:hAnsi="仿宋" w:eastAsia="仿宋" w:cstheme="minorEastAsia"/>
                <w:sz w:val="18"/>
                <w:szCs w:val="18"/>
              </w:rPr>
              <w:t>2.具有健全的内控控制、风险管理等制度</w:t>
            </w:r>
          </w:p>
        </w:tc>
        <w:tc>
          <w:tcPr>
            <w:tcW w:w="1710" w:type="dxa"/>
            <w:tcBorders>
              <w:top w:val="single" w:color="auto" w:sz="4" w:space="0"/>
              <w:tl2br w:val="nil"/>
              <w:tr2bl w:val="nil"/>
            </w:tcBorders>
            <w:shd w:val="clear" w:color="auto" w:fill="auto"/>
            <w:vAlign w:val="center"/>
          </w:tcPr>
          <w:p>
            <w:pPr>
              <w:spacing w:line="276" w:lineRule="auto"/>
              <w:rPr>
                <w:rFonts w:ascii="仿宋" w:hAnsi="仿宋" w:eastAsia="仿宋" w:cstheme="minorEastAsia"/>
                <w:sz w:val="18"/>
                <w:szCs w:val="18"/>
              </w:rPr>
            </w:pPr>
            <w:r>
              <w:rPr>
                <w:rFonts w:hint="eastAsia" w:ascii="仿宋" w:hAnsi="仿宋" w:eastAsia="仿宋" w:cstheme="minorEastAsia"/>
                <w:sz w:val="18"/>
                <w:szCs w:val="18"/>
              </w:rPr>
              <w:t xml:space="preserve">□是  </w:t>
            </w:r>
            <w:r>
              <w:rPr>
                <w:rFonts w:hint="eastAsia" w:ascii="仿宋" w:hAnsi="仿宋" w:eastAsia="仿宋" w:cstheme="minorEastAsia"/>
                <w:sz w:val="18"/>
                <w:szCs w:val="18"/>
                <w:lang w:val="en-US" w:eastAsia="zh-CN"/>
              </w:rPr>
              <w:t xml:space="preserve"> </w:t>
            </w:r>
            <w:r>
              <w:rPr>
                <w:rFonts w:hint="eastAsia" w:ascii="仿宋" w:hAnsi="仿宋" w:eastAsia="仿宋" w:cstheme="minorEastAsia"/>
                <w:sz w:val="18"/>
                <w:szCs w:val="18"/>
              </w:rPr>
              <w:t xml:space="preserve"> □否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9" w:hRule="exact"/>
          <w:jc w:val="center"/>
        </w:trPr>
        <w:tc>
          <w:tcPr>
            <w:tcW w:w="3176" w:type="dxa"/>
            <w:gridSpan w:val="4"/>
            <w:tcBorders>
              <w:tl2br w:val="nil"/>
              <w:tr2bl w:val="nil"/>
            </w:tcBorders>
            <w:shd w:val="clear" w:color="auto" w:fill="auto"/>
            <w:vAlign w:val="center"/>
          </w:tcPr>
          <w:p>
            <w:pPr>
              <w:spacing w:line="276" w:lineRule="auto"/>
              <w:jc w:val="left"/>
              <w:rPr>
                <w:rFonts w:ascii="仿宋" w:hAnsi="仿宋" w:eastAsia="仿宋" w:cstheme="minorEastAsia"/>
                <w:sz w:val="18"/>
                <w:szCs w:val="18"/>
              </w:rPr>
            </w:pPr>
            <w:r>
              <w:rPr>
                <w:rFonts w:ascii="仿宋" w:hAnsi="仿宋" w:eastAsia="仿宋" w:cstheme="minorEastAsia"/>
                <w:sz w:val="18"/>
                <w:szCs w:val="18"/>
              </w:rPr>
              <w:t>3.</w:t>
            </w:r>
            <w:r>
              <w:rPr>
                <w:rFonts w:hint="eastAsia" w:ascii="仿宋" w:hAnsi="仿宋" w:eastAsia="仿宋" w:cstheme="minorEastAsia"/>
                <w:sz w:val="18"/>
                <w:szCs w:val="18"/>
              </w:rPr>
              <w:t>基础知识测试（指令下单人）</w:t>
            </w:r>
          </w:p>
        </w:tc>
        <w:tc>
          <w:tcPr>
            <w:tcW w:w="7148" w:type="dxa"/>
            <w:gridSpan w:val="8"/>
            <w:tcBorders>
              <w:tl2br w:val="nil"/>
              <w:tr2bl w:val="nil"/>
            </w:tcBorders>
            <w:shd w:val="clear" w:color="auto" w:fill="auto"/>
            <w:vAlign w:val="center"/>
          </w:tcPr>
          <w:p>
            <w:pPr>
              <w:spacing w:line="276" w:lineRule="auto"/>
              <w:jc w:val="left"/>
              <w:rPr>
                <w:rFonts w:ascii="仿宋" w:hAnsi="仿宋" w:eastAsia="仿宋" w:cstheme="minorEastAsia"/>
                <w:sz w:val="18"/>
                <w:szCs w:val="18"/>
              </w:rPr>
            </w:pPr>
            <w:r>
              <w:rPr>
                <w:rFonts w:hint="eastAsia" w:ascii="仿宋" w:hAnsi="仿宋" w:eastAsia="仿宋" w:cstheme="minorEastAsia"/>
                <w:sz w:val="18"/>
                <w:szCs w:val="18"/>
              </w:rPr>
              <w:t>日期：</w:t>
            </w:r>
            <w:r>
              <w:rPr>
                <w:rFonts w:hint="eastAsia" w:ascii="仿宋" w:hAnsi="仿宋" w:eastAsia="仿宋" w:cstheme="minorEastAsia"/>
                <w:sz w:val="18"/>
                <w:szCs w:val="18"/>
                <w:u w:val="single"/>
              </w:rPr>
              <w:t xml:space="preserve">    </w:t>
            </w:r>
            <w:r>
              <w:rPr>
                <w:rFonts w:ascii="仿宋" w:hAnsi="仿宋" w:eastAsia="仿宋" w:cstheme="minorEastAsia"/>
                <w:sz w:val="18"/>
                <w:szCs w:val="18"/>
                <w:u w:val="single"/>
              </w:rPr>
              <w:t xml:space="preserve">    </w:t>
            </w:r>
            <w:r>
              <w:rPr>
                <w:rFonts w:hint="eastAsia" w:ascii="仿宋" w:hAnsi="仿宋" w:eastAsia="仿宋" w:cstheme="minorEastAsia"/>
                <w:sz w:val="18"/>
                <w:szCs w:val="18"/>
                <w:u w:val="single"/>
              </w:rPr>
              <w:t xml:space="preserve">   </w:t>
            </w:r>
            <w:r>
              <w:rPr>
                <w:rFonts w:hint="eastAsia" w:ascii="仿宋" w:hAnsi="仿宋" w:eastAsia="仿宋" w:cstheme="minorEastAsia"/>
                <w:sz w:val="18"/>
                <w:szCs w:val="18"/>
              </w:rPr>
              <w:t>；成绩：</w:t>
            </w:r>
            <w:r>
              <w:rPr>
                <w:rFonts w:hint="eastAsia" w:ascii="仿宋" w:hAnsi="仿宋" w:eastAsia="仿宋" w:cstheme="minorEastAsia"/>
                <w:sz w:val="18"/>
                <w:szCs w:val="18"/>
                <w:u w:val="single"/>
              </w:rPr>
              <w:t xml:space="preserve"> </w:t>
            </w:r>
            <w:r>
              <w:rPr>
                <w:rFonts w:ascii="仿宋" w:hAnsi="仿宋" w:eastAsia="仿宋" w:cstheme="minorEastAsia"/>
                <w:sz w:val="18"/>
                <w:szCs w:val="18"/>
                <w:u w:val="single"/>
              </w:rPr>
              <w:t xml:space="preserve">      </w:t>
            </w:r>
            <w:r>
              <w:rPr>
                <w:rFonts w:hint="eastAsia" w:ascii="仿宋" w:hAnsi="仿宋" w:eastAsia="仿宋" w:cstheme="minorEastAsia"/>
                <w:sz w:val="18"/>
                <w:szCs w:val="18"/>
              </w:rPr>
              <w:t xml:space="preserve">分；  </w:t>
            </w:r>
            <w:r>
              <w:rPr>
                <w:rFonts w:ascii="仿宋" w:hAnsi="仿宋" w:eastAsia="仿宋" w:cstheme="minorEastAsia"/>
                <w:sz w:val="18"/>
                <w:szCs w:val="18"/>
              </w:rPr>
              <w:t xml:space="preserve">     </w:t>
            </w:r>
            <w:r>
              <w:rPr>
                <w:rFonts w:hint="eastAsia" w:ascii="仿宋" w:hAnsi="仿宋" w:eastAsia="仿宋" w:cstheme="minorEastAsia"/>
                <w:sz w:val="18"/>
                <w:szCs w:val="18"/>
              </w:rPr>
              <w:t>监考人：</w:t>
            </w:r>
            <w:r>
              <w:rPr>
                <w:rFonts w:hint="eastAsia" w:ascii="仿宋" w:hAnsi="仿宋" w:eastAsia="仿宋" w:cstheme="minorEastAsia"/>
                <w:b/>
                <w:bCs/>
                <w:sz w:val="18"/>
                <w:szCs w:val="18"/>
              </w:rPr>
              <w:t>_______________</w:t>
            </w:r>
            <w:r>
              <w:rPr>
                <w:rFonts w:ascii="仿宋" w:hAnsi="仿宋" w:eastAsia="仿宋" w:cstheme="minorEastAsia"/>
                <w:b/>
                <w:bCs/>
                <w:sz w:val="18"/>
                <w:szCs w:val="18"/>
              </w:rPr>
              <w:t xml:space="preserve"> </w:t>
            </w:r>
            <w:r>
              <w:rPr>
                <w:rFonts w:hint="eastAsia" w:ascii="仿宋" w:hAnsi="仿宋" w:eastAsia="仿宋" w:cstheme="minorEastAsia"/>
                <w:b/>
                <w:bCs/>
                <w:sz w:val="18"/>
                <w:szCs w:val="18"/>
              </w:rPr>
              <w:t>_；</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5" w:hRule="exact"/>
          <w:jc w:val="center"/>
        </w:trPr>
        <w:tc>
          <w:tcPr>
            <w:tcW w:w="3176" w:type="dxa"/>
            <w:gridSpan w:val="4"/>
            <w:tcBorders>
              <w:tl2br w:val="nil"/>
              <w:tr2bl w:val="nil"/>
            </w:tcBorders>
            <w:shd w:val="clear" w:color="auto" w:fill="D7D7D7" w:themeFill="background1" w:themeFillShade="D8"/>
            <w:vAlign w:val="center"/>
          </w:tcPr>
          <w:p>
            <w:pPr>
              <w:spacing w:line="276" w:lineRule="auto"/>
              <w:rPr>
                <w:rFonts w:ascii="仿宋" w:hAnsi="仿宋" w:eastAsia="仿宋" w:cstheme="minorEastAsia"/>
                <w:sz w:val="18"/>
                <w:szCs w:val="18"/>
              </w:rPr>
            </w:pPr>
            <w:r>
              <w:rPr>
                <w:rFonts w:hint="eastAsia" w:ascii="仿宋" w:hAnsi="仿宋" w:eastAsia="仿宋" w:cstheme="minorEastAsia"/>
                <w:b/>
                <w:bCs/>
                <w:sz w:val="18"/>
                <w:szCs w:val="18"/>
              </w:rPr>
              <w:t xml:space="preserve">（三）特殊单位客户 </w:t>
            </w:r>
          </w:p>
        </w:tc>
        <w:tc>
          <w:tcPr>
            <w:tcW w:w="7148" w:type="dxa"/>
            <w:gridSpan w:val="8"/>
            <w:tcBorders>
              <w:tl2br w:val="nil"/>
              <w:tr2bl w:val="nil"/>
            </w:tcBorders>
            <w:shd w:val="clear" w:color="auto" w:fill="auto"/>
            <w:vAlign w:val="center"/>
          </w:tcPr>
          <w:p>
            <w:pPr>
              <w:spacing w:line="276" w:lineRule="auto"/>
              <w:rPr>
                <w:rFonts w:ascii="仿宋" w:hAnsi="仿宋" w:eastAsia="仿宋" w:cstheme="minorEastAsia"/>
                <w:sz w:val="18"/>
                <w:szCs w:val="18"/>
              </w:rPr>
            </w:pPr>
            <w:r>
              <w:rPr>
                <w:rFonts w:hint="eastAsia" w:ascii="仿宋" w:hAnsi="仿宋" w:eastAsia="仿宋" w:cstheme="minorEastAsia"/>
                <w:sz w:val="18"/>
                <w:szCs w:val="18"/>
              </w:rPr>
              <w:t xml:space="preserve">具有健全的内控控制、风险管理等制度 </w:t>
            </w:r>
            <w:r>
              <w:rPr>
                <w:rFonts w:ascii="仿宋" w:hAnsi="仿宋" w:eastAsia="仿宋" w:cstheme="minorEastAsia"/>
                <w:sz w:val="18"/>
                <w:szCs w:val="18"/>
              </w:rPr>
              <w:t xml:space="preserve">                   </w:t>
            </w:r>
            <w:r>
              <w:rPr>
                <w:rFonts w:hint="eastAsia" w:ascii="仿宋" w:hAnsi="仿宋" w:eastAsia="仿宋" w:cstheme="minorEastAsia"/>
                <w:sz w:val="18"/>
                <w:szCs w:val="18"/>
              </w:rPr>
              <w:t>□是    □否</w:t>
            </w:r>
          </w:p>
          <w:p>
            <w:pPr>
              <w:spacing w:line="276" w:lineRule="auto"/>
              <w:jc w:val="left"/>
              <w:rPr>
                <w:rFonts w:ascii="仿宋" w:hAnsi="仿宋" w:eastAsia="仿宋" w:cstheme="minorEastAsia"/>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661" w:type="dxa"/>
            <w:gridSpan w:val="2"/>
            <w:tcBorders>
              <w:tl2br w:val="nil"/>
              <w:tr2bl w:val="nil"/>
            </w:tcBorders>
            <w:shd w:val="clear" w:color="auto" w:fill="auto"/>
            <w:vAlign w:val="center"/>
          </w:tcPr>
          <w:p>
            <w:pPr>
              <w:spacing w:line="276" w:lineRule="auto"/>
              <w:jc w:val="left"/>
              <w:rPr>
                <w:rFonts w:ascii="仿宋" w:hAnsi="仿宋" w:eastAsia="仿宋" w:cstheme="minorEastAsia"/>
                <w:b/>
                <w:bCs/>
                <w:sz w:val="18"/>
                <w:szCs w:val="18"/>
              </w:rPr>
            </w:pPr>
            <w:r>
              <w:rPr>
                <w:rFonts w:hint="eastAsia" w:ascii="仿宋" w:hAnsi="仿宋" w:eastAsia="仿宋" w:cstheme="minorEastAsia"/>
                <w:b/>
                <w:bCs/>
                <w:sz w:val="18"/>
                <w:szCs w:val="18"/>
              </w:rPr>
              <w:t>三、资金要求</w:t>
            </w:r>
          </w:p>
        </w:tc>
        <w:tc>
          <w:tcPr>
            <w:tcW w:w="8663" w:type="dxa"/>
            <w:gridSpan w:val="10"/>
            <w:tcBorders>
              <w:tl2br w:val="nil"/>
              <w:tr2bl w:val="nil"/>
            </w:tcBorders>
            <w:shd w:val="clear" w:color="auto" w:fill="auto"/>
            <w:vAlign w:val="center"/>
          </w:tcPr>
          <w:p>
            <w:pPr>
              <w:tabs>
                <w:tab w:val="left" w:pos="540"/>
                <w:tab w:val="left" w:pos="1440"/>
                <w:tab w:val="left" w:pos="1620"/>
                <w:tab w:val="left" w:pos="1701"/>
                <w:tab w:val="left" w:pos="1800"/>
              </w:tabs>
              <w:spacing w:line="276" w:lineRule="auto"/>
              <w:jc w:val="left"/>
              <w:rPr>
                <w:rFonts w:ascii="仿宋" w:hAnsi="仿宋" w:eastAsia="仿宋" w:cstheme="minorEastAsia"/>
                <w:sz w:val="18"/>
                <w:szCs w:val="18"/>
              </w:rPr>
            </w:pPr>
            <w:r>
              <w:rPr>
                <w:rFonts w:hint="eastAsia" w:ascii="仿宋" w:hAnsi="仿宋" w:eastAsia="仿宋" w:cstheme="minorEastAsia"/>
                <w:sz w:val="18"/>
                <w:szCs w:val="18"/>
              </w:rPr>
              <w:t>申请前五个交易日保证金账户内最低余额：</w:t>
            </w:r>
            <w:r>
              <w:rPr>
                <w:rFonts w:hint="eastAsia" w:ascii="仿宋" w:hAnsi="仿宋" w:eastAsia="仿宋" w:cstheme="minorEastAsia"/>
                <w:sz w:val="18"/>
                <w:szCs w:val="18"/>
                <w:u w:val="single"/>
              </w:rPr>
              <w:t xml:space="preserve"> </w:t>
            </w:r>
            <w:r>
              <w:rPr>
                <w:rFonts w:ascii="仿宋" w:hAnsi="仿宋" w:eastAsia="仿宋" w:cstheme="minorEastAsia"/>
                <w:sz w:val="18"/>
                <w:szCs w:val="18"/>
                <w:u w:val="single"/>
              </w:rPr>
              <w:t xml:space="preserve">  </w:t>
            </w:r>
            <w:r>
              <w:rPr>
                <w:rFonts w:hint="eastAsia" w:ascii="仿宋" w:hAnsi="仿宋" w:eastAsia="仿宋" w:cstheme="minorEastAsia"/>
                <w:sz w:val="18"/>
                <w:szCs w:val="18"/>
                <w:u w:val="single"/>
              </w:rPr>
              <w:t xml:space="preserve"> </w:t>
            </w:r>
            <w:r>
              <w:rPr>
                <w:rFonts w:ascii="仿宋" w:hAnsi="仿宋" w:eastAsia="仿宋" w:cstheme="minorEastAsia"/>
                <w:sz w:val="18"/>
                <w:szCs w:val="18"/>
                <w:u w:val="single"/>
              </w:rPr>
              <w:t xml:space="preserve"> </w:t>
            </w:r>
            <w:r>
              <w:rPr>
                <w:rFonts w:hint="eastAsia" w:ascii="仿宋" w:hAnsi="仿宋" w:eastAsia="仿宋" w:cstheme="minorEastAsia"/>
                <w:sz w:val="18"/>
                <w:szCs w:val="18"/>
              </w:rPr>
              <w:t>万元，日期：</w:t>
            </w:r>
            <w:r>
              <w:rPr>
                <w:rFonts w:hint="eastAsia" w:ascii="仿宋" w:hAnsi="仿宋" w:eastAsia="仿宋" w:cstheme="minorEastAsia"/>
                <w:sz w:val="18"/>
                <w:szCs w:val="18"/>
                <w:u w:val="single"/>
              </w:rPr>
              <w:t xml:space="preserve"> </w:t>
            </w:r>
            <w:r>
              <w:rPr>
                <w:rFonts w:ascii="仿宋" w:hAnsi="仿宋" w:eastAsia="仿宋" w:cstheme="minorEastAsia"/>
                <w:sz w:val="18"/>
                <w:szCs w:val="18"/>
                <w:u w:val="single"/>
              </w:rPr>
              <w:t xml:space="preserve">    </w:t>
            </w:r>
            <w:r>
              <w:rPr>
                <w:rFonts w:hint="eastAsia" w:ascii="仿宋" w:hAnsi="仿宋" w:eastAsia="仿宋" w:cstheme="minorEastAsia"/>
                <w:sz w:val="18"/>
                <w:szCs w:val="18"/>
              </w:rPr>
              <w:t>年</w:t>
            </w:r>
            <w:r>
              <w:rPr>
                <w:rFonts w:hint="eastAsia" w:ascii="仿宋" w:hAnsi="仿宋" w:eastAsia="仿宋" w:cstheme="minorEastAsia"/>
                <w:sz w:val="18"/>
                <w:szCs w:val="18"/>
                <w:u w:val="single"/>
              </w:rPr>
              <w:t xml:space="preserve"> </w:t>
            </w:r>
            <w:r>
              <w:rPr>
                <w:rFonts w:ascii="仿宋" w:hAnsi="仿宋" w:eastAsia="仿宋" w:cstheme="minorEastAsia"/>
                <w:sz w:val="18"/>
                <w:szCs w:val="18"/>
                <w:u w:val="single"/>
              </w:rPr>
              <w:t xml:space="preserve">  </w:t>
            </w:r>
            <w:r>
              <w:rPr>
                <w:rFonts w:hint="eastAsia" w:ascii="仿宋" w:hAnsi="仿宋" w:eastAsia="仿宋" w:cstheme="minorEastAsia"/>
                <w:sz w:val="18"/>
                <w:szCs w:val="18"/>
              </w:rPr>
              <w:t>月</w:t>
            </w:r>
            <w:r>
              <w:rPr>
                <w:rFonts w:hint="eastAsia" w:ascii="仿宋" w:hAnsi="仿宋" w:eastAsia="仿宋" w:cstheme="minorEastAsia"/>
                <w:sz w:val="18"/>
                <w:szCs w:val="18"/>
                <w:u w:val="single"/>
              </w:rPr>
              <w:t xml:space="preserve"> </w:t>
            </w:r>
            <w:r>
              <w:rPr>
                <w:rFonts w:ascii="仿宋" w:hAnsi="仿宋" w:eastAsia="仿宋" w:cstheme="minorEastAsia"/>
                <w:sz w:val="18"/>
                <w:szCs w:val="18"/>
                <w:u w:val="single"/>
              </w:rPr>
              <w:t xml:space="preserve">  </w:t>
            </w:r>
            <w:r>
              <w:rPr>
                <w:rFonts w:hint="eastAsia" w:ascii="仿宋" w:hAnsi="仿宋" w:eastAsia="仿宋" w:cstheme="minorEastAsia"/>
                <w:sz w:val="18"/>
                <w:szCs w:val="18"/>
              </w:rPr>
              <w:t>日至</w:t>
            </w:r>
            <w:r>
              <w:rPr>
                <w:rFonts w:hint="eastAsia" w:ascii="仿宋" w:hAnsi="仿宋" w:eastAsia="仿宋" w:cstheme="minorEastAsia"/>
                <w:sz w:val="18"/>
                <w:szCs w:val="18"/>
                <w:u w:val="single"/>
              </w:rPr>
              <w:t xml:space="preserve"> </w:t>
            </w:r>
            <w:r>
              <w:rPr>
                <w:rFonts w:ascii="仿宋" w:hAnsi="仿宋" w:eastAsia="仿宋" w:cstheme="minorEastAsia"/>
                <w:sz w:val="18"/>
                <w:szCs w:val="18"/>
                <w:u w:val="single"/>
              </w:rPr>
              <w:t xml:space="preserve">    </w:t>
            </w:r>
            <w:r>
              <w:rPr>
                <w:rFonts w:hint="eastAsia" w:ascii="仿宋" w:hAnsi="仿宋" w:eastAsia="仿宋" w:cstheme="minorEastAsia"/>
                <w:sz w:val="18"/>
                <w:szCs w:val="18"/>
              </w:rPr>
              <w:t>年</w:t>
            </w:r>
            <w:r>
              <w:rPr>
                <w:rFonts w:hint="eastAsia" w:ascii="仿宋" w:hAnsi="仿宋" w:eastAsia="仿宋" w:cstheme="minorEastAsia"/>
                <w:sz w:val="18"/>
                <w:szCs w:val="18"/>
                <w:u w:val="single"/>
              </w:rPr>
              <w:t xml:space="preserve"> </w:t>
            </w:r>
            <w:r>
              <w:rPr>
                <w:rFonts w:ascii="仿宋" w:hAnsi="仿宋" w:eastAsia="仿宋" w:cstheme="minorEastAsia"/>
                <w:sz w:val="18"/>
                <w:szCs w:val="18"/>
                <w:u w:val="single"/>
              </w:rPr>
              <w:t xml:space="preserve">  </w:t>
            </w:r>
            <w:r>
              <w:rPr>
                <w:rFonts w:hint="eastAsia" w:ascii="仿宋" w:hAnsi="仿宋" w:eastAsia="仿宋" w:cstheme="minorEastAsia"/>
                <w:sz w:val="18"/>
                <w:szCs w:val="18"/>
              </w:rPr>
              <w:t>月</w:t>
            </w:r>
            <w:r>
              <w:rPr>
                <w:rFonts w:hint="eastAsia" w:ascii="仿宋" w:hAnsi="仿宋" w:eastAsia="仿宋" w:cstheme="minorEastAsia"/>
                <w:sz w:val="18"/>
                <w:szCs w:val="18"/>
                <w:u w:val="single"/>
              </w:rPr>
              <w:t xml:space="preserve"> </w:t>
            </w:r>
            <w:r>
              <w:rPr>
                <w:rFonts w:ascii="仿宋" w:hAnsi="仿宋" w:eastAsia="仿宋" w:cstheme="minorEastAsia"/>
                <w:sz w:val="18"/>
                <w:szCs w:val="18"/>
                <w:u w:val="single"/>
              </w:rPr>
              <w:t xml:space="preserve">  </w:t>
            </w:r>
            <w:r>
              <w:rPr>
                <w:rFonts w:hint="eastAsia" w:ascii="仿宋" w:hAnsi="仿宋" w:eastAsia="仿宋" w:cstheme="minorEastAsia"/>
                <w:sz w:val="18"/>
                <w:szCs w:val="18"/>
              </w:rPr>
              <w:t>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9" w:hRule="exact"/>
          <w:jc w:val="center"/>
        </w:trPr>
        <w:tc>
          <w:tcPr>
            <w:tcW w:w="1661" w:type="dxa"/>
            <w:gridSpan w:val="2"/>
            <w:vMerge w:val="restart"/>
            <w:tcBorders>
              <w:tl2br w:val="nil"/>
              <w:tr2bl w:val="nil"/>
            </w:tcBorders>
            <w:shd w:val="clear" w:color="auto" w:fill="auto"/>
            <w:vAlign w:val="center"/>
          </w:tcPr>
          <w:p>
            <w:pPr>
              <w:spacing w:line="276" w:lineRule="auto"/>
              <w:jc w:val="left"/>
              <w:rPr>
                <w:rFonts w:ascii="仿宋" w:hAnsi="仿宋" w:eastAsia="仿宋" w:cstheme="minorEastAsia"/>
                <w:b/>
                <w:bCs/>
                <w:sz w:val="18"/>
                <w:szCs w:val="18"/>
              </w:rPr>
            </w:pPr>
            <w:r>
              <w:rPr>
                <w:rFonts w:hint="eastAsia" w:ascii="仿宋" w:hAnsi="仿宋" w:eastAsia="仿宋" w:cstheme="minorEastAsia"/>
                <w:b/>
                <w:bCs/>
                <w:sz w:val="18"/>
                <w:szCs w:val="18"/>
              </w:rPr>
              <w:t>四、期货交易经历</w:t>
            </w:r>
          </w:p>
          <w:p>
            <w:pPr>
              <w:spacing w:line="276" w:lineRule="auto"/>
              <w:jc w:val="left"/>
              <w:rPr>
                <w:rFonts w:ascii="仿宋" w:hAnsi="仿宋" w:eastAsia="仿宋" w:cstheme="minorEastAsia"/>
                <w:b/>
                <w:bCs/>
                <w:sz w:val="18"/>
                <w:szCs w:val="18"/>
              </w:rPr>
            </w:pPr>
            <w:r>
              <w:rPr>
                <w:rFonts w:hint="eastAsia" w:ascii="仿宋" w:hAnsi="仿宋" w:eastAsia="仿宋" w:cstheme="minorEastAsia"/>
                <w:b/>
                <w:bCs/>
                <w:sz w:val="18"/>
                <w:szCs w:val="18"/>
              </w:rPr>
              <w:t>（二选一）</w:t>
            </w:r>
          </w:p>
        </w:tc>
        <w:tc>
          <w:tcPr>
            <w:tcW w:w="1515" w:type="dxa"/>
            <w:gridSpan w:val="2"/>
            <w:tcBorders>
              <w:tl2br w:val="nil"/>
              <w:tr2bl w:val="nil"/>
            </w:tcBorders>
            <w:shd w:val="clear" w:color="auto" w:fill="auto"/>
            <w:vAlign w:val="center"/>
          </w:tcPr>
          <w:p>
            <w:pPr>
              <w:spacing w:line="276" w:lineRule="auto"/>
              <w:jc w:val="left"/>
              <w:rPr>
                <w:rFonts w:ascii="仿宋" w:hAnsi="仿宋" w:eastAsia="仿宋" w:cstheme="minorEastAsia"/>
                <w:sz w:val="18"/>
                <w:szCs w:val="18"/>
              </w:rPr>
            </w:pPr>
            <w:r>
              <w:rPr>
                <w:rFonts w:hint="eastAsia" w:ascii="仿宋" w:hAnsi="仿宋" w:eastAsia="仿宋" w:cstheme="minorEastAsia"/>
                <w:sz w:val="18"/>
                <w:szCs w:val="18"/>
              </w:rPr>
              <w:t>□仿真交易</w:t>
            </w:r>
          </w:p>
        </w:tc>
        <w:tc>
          <w:tcPr>
            <w:tcW w:w="7148" w:type="dxa"/>
            <w:gridSpan w:val="8"/>
            <w:tcBorders>
              <w:tl2br w:val="nil"/>
              <w:tr2bl w:val="nil"/>
            </w:tcBorders>
            <w:shd w:val="clear" w:color="auto" w:fill="auto"/>
            <w:vAlign w:val="center"/>
          </w:tcPr>
          <w:p>
            <w:pPr>
              <w:spacing w:line="276" w:lineRule="auto"/>
              <w:jc w:val="left"/>
              <w:rPr>
                <w:rFonts w:ascii="仿宋" w:hAnsi="仿宋" w:eastAsia="仿宋" w:cstheme="minorEastAsia"/>
                <w:sz w:val="18"/>
                <w:szCs w:val="18"/>
              </w:rPr>
            </w:pPr>
            <w:r>
              <w:rPr>
                <w:rFonts w:hint="eastAsia" w:ascii="仿宋" w:hAnsi="仿宋" w:eastAsia="仿宋" w:cstheme="minorEastAsia"/>
                <w:sz w:val="18"/>
                <w:szCs w:val="18"/>
              </w:rPr>
              <w:t>□仿真交易(累计10个交易日20笔（含）以上成交记录)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9" w:hRule="exact"/>
          <w:jc w:val="center"/>
        </w:trPr>
        <w:tc>
          <w:tcPr>
            <w:tcW w:w="1661" w:type="dxa"/>
            <w:gridSpan w:val="2"/>
            <w:vMerge w:val="continue"/>
            <w:tcBorders>
              <w:tl2br w:val="nil"/>
              <w:tr2bl w:val="nil"/>
            </w:tcBorders>
            <w:shd w:val="clear" w:color="auto" w:fill="auto"/>
            <w:vAlign w:val="center"/>
          </w:tcPr>
          <w:p>
            <w:pPr>
              <w:adjustRightInd w:val="0"/>
              <w:snapToGrid w:val="0"/>
              <w:spacing w:line="276" w:lineRule="auto"/>
              <w:jc w:val="left"/>
              <w:rPr>
                <w:rFonts w:ascii="仿宋" w:hAnsi="仿宋" w:eastAsia="仿宋" w:cstheme="minorEastAsia"/>
                <w:sz w:val="18"/>
                <w:szCs w:val="18"/>
              </w:rPr>
            </w:pPr>
          </w:p>
        </w:tc>
        <w:tc>
          <w:tcPr>
            <w:tcW w:w="1515" w:type="dxa"/>
            <w:gridSpan w:val="2"/>
            <w:vMerge w:val="restart"/>
            <w:tcBorders>
              <w:tl2br w:val="nil"/>
              <w:tr2bl w:val="nil"/>
            </w:tcBorders>
            <w:shd w:val="clear" w:color="auto" w:fill="auto"/>
            <w:vAlign w:val="center"/>
          </w:tcPr>
          <w:p>
            <w:pPr>
              <w:spacing w:line="276" w:lineRule="auto"/>
              <w:jc w:val="left"/>
              <w:rPr>
                <w:rFonts w:ascii="仿宋" w:hAnsi="仿宋" w:eastAsia="仿宋" w:cstheme="minorEastAsia"/>
                <w:sz w:val="18"/>
                <w:szCs w:val="18"/>
              </w:rPr>
            </w:pPr>
            <w:r>
              <w:rPr>
                <w:rFonts w:hint="eastAsia" w:ascii="仿宋" w:hAnsi="仿宋" w:eastAsia="仿宋" w:cstheme="minorEastAsia"/>
                <w:sz w:val="18"/>
                <w:szCs w:val="18"/>
              </w:rPr>
              <w:t>□真实交易</w:t>
            </w:r>
          </w:p>
        </w:tc>
        <w:tc>
          <w:tcPr>
            <w:tcW w:w="7148" w:type="dxa"/>
            <w:gridSpan w:val="8"/>
            <w:tcBorders>
              <w:tl2br w:val="nil"/>
              <w:tr2bl w:val="nil"/>
            </w:tcBorders>
            <w:shd w:val="clear" w:color="auto" w:fill="auto"/>
            <w:vAlign w:val="center"/>
          </w:tcPr>
          <w:p>
            <w:pPr>
              <w:spacing w:line="276" w:lineRule="auto"/>
              <w:jc w:val="left"/>
              <w:rPr>
                <w:rFonts w:ascii="仿宋" w:hAnsi="仿宋" w:eastAsia="仿宋" w:cstheme="minorEastAsia"/>
                <w:sz w:val="18"/>
                <w:szCs w:val="18"/>
              </w:rPr>
            </w:pPr>
            <w:r>
              <w:rPr>
                <w:rFonts w:hint="eastAsia" w:ascii="仿宋" w:hAnsi="仿宋" w:eastAsia="仿宋" w:cstheme="minorEastAsia"/>
                <w:sz w:val="18"/>
                <w:szCs w:val="18"/>
              </w:rPr>
              <w:t>□境内期货、期权或集中清算的其他衍生品交易(最近三年内10笔（含）以上成交记录)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9" w:hRule="exact"/>
          <w:jc w:val="center"/>
        </w:trPr>
        <w:tc>
          <w:tcPr>
            <w:tcW w:w="1661" w:type="dxa"/>
            <w:gridSpan w:val="2"/>
            <w:vMerge w:val="continue"/>
            <w:tcBorders>
              <w:tl2br w:val="nil"/>
              <w:tr2bl w:val="nil"/>
            </w:tcBorders>
            <w:shd w:val="clear" w:color="auto" w:fill="auto"/>
            <w:vAlign w:val="center"/>
          </w:tcPr>
          <w:p>
            <w:pPr>
              <w:adjustRightInd w:val="0"/>
              <w:snapToGrid w:val="0"/>
              <w:spacing w:line="276" w:lineRule="auto"/>
              <w:jc w:val="left"/>
              <w:rPr>
                <w:rFonts w:ascii="仿宋" w:hAnsi="仿宋" w:eastAsia="仿宋" w:cstheme="minorEastAsia"/>
                <w:sz w:val="18"/>
                <w:szCs w:val="18"/>
              </w:rPr>
            </w:pPr>
          </w:p>
        </w:tc>
        <w:tc>
          <w:tcPr>
            <w:tcW w:w="1515" w:type="dxa"/>
            <w:gridSpan w:val="2"/>
            <w:vMerge w:val="continue"/>
            <w:tcBorders>
              <w:tl2br w:val="nil"/>
              <w:tr2bl w:val="nil"/>
            </w:tcBorders>
            <w:shd w:val="clear" w:color="auto" w:fill="auto"/>
            <w:vAlign w:val="center"/>
          </w:tcPr>
          <w:p>
            <w:pPr>
              <w:spacing w:line="276" w:lineRule="auto"/>
              <w:jc w:val="center"/>
              <w:rPr>
                <w:rFonts w:ascii="仿宋" w:hAnsi="仿宋" w:eastAsia="仿宋" w:cstheme="minorEastAsia"/>
                <w:sz w:val="18"/>
                <w:szCs w:val="18"/>
              </w:rPr>
            </w:pPr>
          </w:p>
        </w:tc>
        <w:tc>
          <w:tcPr>
            <w:tcW w:w="7148" w:type="dxa"/>
            <w:gridSpan w:val="8"/>
            <w:tcBorders>
              <w:tl2br w:val="nil"/>
              <w:tr2bl w:val="nil"/>
            </w:tcBorders>
            <w:shd w:val="clear" w:color="auto" w:fill="auto"/>
            <w:vAlign w:val="center"/>
          </w:tcPr>
          <w:p>
            <w:pPr>
              <w:spacing w:line="276" w:lineRule="auto"/>
              <w:jc w:val="left"/>
              <w:rPr>
                <w:rFonts w:ascii="仿宋" w:hAnsi="仿宋" w:eastAsia="仿宋" w:cstheme="minorEastAsia"/>
                <w:sz w:val="18"/>
                <w:szCs w:val="18"/>
              </w:rPr>
            </w:pPr>
            <w:r>
              <w:rPr>
                <w:rFonts w:hint="eastAsia" w:ascii="仿宋" w:hAnsi="仿宋" w:eastAsia="仿宋" w:cstheme="minorEastAsia"/>
                <w:sz w:val="18"/>
                <w:szCs w:val="18"/>
              </w:rPr>
              <w:t>□境外期货、期权或集中清算的其他衍生品交易(最近三年内10笔（含）以上成交记录)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661" w:type="dxa"/>
            <w:gridSpan w:val="2"/>
            <w:tcBorders>
              <w:tl2br w:val="nil"/>
              <w:tr2bl w:val="nil"/>
            </w:tcBorders>
            <w:shd w:val="clear" w:color="auto" w:fill="auto"/>
            <w:vAlign w:val="center"/>
          </w:tcPr>
          <w:p>
            <w:pPr>
              <w:spacing w:line="276" w:lineRule="auto"/>
              <w:jc w:val="left"/>
              <w:rPr>
                <w:rFonts w:ascii="仿宋" w:hAnsi="仿宋" w:eastAsia="仿宋" w:cstheme="minorEastAsia"/>
                <w:b/>
                <w:bCs/>
                <w:sz w:val="18"/>
                <w:szCs w:val="18"/>
              </w:rPr>
            </w:pPr>
            <w:r>
              <w:rPr>
                <w:rFonts w:hint="eastAsia" w:ascii="仿宋" w:hAnsi="仿宋" w:eastAsia="仿宋" w:cstheme="minorEastAsia"/>
                <w:b/>
                <w:bCs/>
                <w:sz w:val="18"/>
                <w:szCs w:val="18"/>
              </w:rPr>
              <w:t>五、诚信信息</w:t>
            </w:r>
          </w:p>
        </w:tc>
        <w:tc>
          <w:tcPr>
            <w:tcW w:w="8663" w:type="dxa"/>
            <w:gridSpan w:val="10"/>
            <w:tcBorders>
              <w:tl2br w:val="nil"/>
              <w:tr2bl w:val="nil"/>
            </w:tcBorders>
            <w:shd w:val="clear" w:color="auto" w:fill="auto"/>
            <w:vAlign w:val="center"/>
          </w:tcPr>
          <w:p>
            <w:pPr>
              <w:spacing w:line="276" w:lineRule="auto"/>
              <w:rPr>
                <w:rFonts w:ascii="仿宋" w:hAnsi="仿宋" w:eastAsia="仿宋" w:cstheme="minorEastAsia"/>
                <w:sz w:val="18"/>
                <w:szCs w:val="18"/>
              </w:rPr>
            </w:pPr>
            <w:r>
              <w:rPr>
                <w:rFonts w:hint="eastAsia" w:ascii="仿宋" w:hAnsi="仿宋" w:eastAsia="仿宋" w:cstheme="minorEastAsia"/>
                <w:sz w:val="18"/>
                <w:szCs w:val="18"/>
              </w:rPr>
              <w:t>□中期协风险数据库查询无记录  □证券期货市场失信记录查询无记录  □涉金融严重失信人员无记录</w:t>
            </w:r>
          </w:p>
          <w:p>
            <w:pPr>
              <w:spacing w:line="276" w:lineRule="auto"/>
              <w:rPr>
                <w:rFonts w:ascii="仿宋" w:hAnsi="仿宋" w:eastAsia="仿宋" w:cstheme="minorEastAsia"/>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0" w:hRule="exact"/>
          <w:jc w:val="center"/>
        </w:trPr>
        <w:tc>
          <w:tcPr>
            <w:tcW w:w="10324" w:type="dxa"/>
            <w:gridSpan w:val="12"/>
            <w:tcBorders>
              <w:tl2br w:val="nil"/>
              <w:tr2bl w:val="nil"/>
            </w:tcBorders>
            <w:shd w:val="clear" w:color="auto" w:fill="D7D7D7" w:themeFill="background1" w:themeFillShade="D8"/>
            <w:vAlign w:val="center"/>
          </w:tcPr>
          <w:p>
            <w:pPr>
              <w:spacing w:line="276" w:lineRule="auto"/>
              <w:jc w:val="left"/>
              <w:rPr>
                <w:rFonts w:ascii="仿宋" w:hAnsi="仿宋" w:eastAsia="仿宋" w:cstheme="minorEastAsia"/>
                <w:sz w:val="18"/>
                <w:szCs w:val="18"/>
              </w:rPr>
            </w:pPr>
            <w:r>
              <w:rPr>
                <w:rFonts w:hint="eastAsia" w:ascii="仿宋" w:hAnsi="仿宋" w:eastAsia="仿宋" w:cstheme="minorEastAsia"/>
                <w:b/>
                <w:bCs/>
                <w:sz w:val="18"/>
                <w:szCs w:val="18"/>
              </w:rPr>
              <w:t>六、适当性豁免评估情形（针对能源中心、大商所、郑商所和上期所特定品种/期权）</w:t>
            </w:r>
            <w:r>
              <w:rPr>
                <w:rFonts w:hint="eastAsia" w:ascii="仿宋" w:hAnsi="仿宋" w:eastAsia="仿宋" w:cstheme="minorEastAsia"/>
                <w:b w:val="0"/>
                <w:bCs w:val="0"/>
                <w:sz w:val="16"/>
                <w:szCs w:val="16"/>
              </w:rPr>
              <w:t>注：金融</w:t>
            </w:r>
            <w:r>
              <w:rPr>
                <w:rFonts w:hint="eastAsia" w:ascii="仿宋" w:hAnsi="仿宋" w:eastAsia="仿宋" w:cstheme="minorEastAsia"/>
                <w:b w:val="0"/>
                <w:bCs w:val="0"/>
                <w:sz w:val="16"/>
                <w:szCs w:val="16"/>
                <w:lang w:val="en-US" w:eastAsia="zh-CN"/>
              </w:rPr>
              <w:t>/</w:t>
            </w:r>
            <w:r>
              <w:rPr>
                <w:rFonts w:hint="eastAsia" w:ascii="仿宋" w:hAnsi="仿宋" w:eastAsia="仿宋" w:cstheme="minorEastAsia"/>
                <w:b w:val="0"/>
                <w:bCs w:val="0"/>
                <w:sz w:val="16"/>
                <w:szCs w:val="16"/>
              </w:rPr>
              <w:t>原油</w:t>
            </w:r>
            <w:r>
              <w:rPr>
                <w:rFonts w:hint="eastAsia" w:ascii="仿宋" w:hAnsi="仿宋" w:eastAsia="仿宋" w:cstheme="minorEastAsia"/>
                <w:b w:val="0"/>
                <w:bCs w:val="0"/>
                <w:sz w:val="16"/>
                <w:szCs w:val="16"/>
                <w:lang w:val="en-US" w:eastAsia="zh-CN"/>
              </w:rPr>
              <w:t>/</w:t>
            </w:r>
            <w:r>
              <w:rPr>
                <w:rFonts w:hint="eastAsia" w:ascii="仿宋" w:hAnsi="仿宋" w:eastAsia="仿宋" w:cstheme="minorEastAsia"/>
                <w:b w:val="0"/>
                <w:bCs w:val="0"/>
                <w:sz w:val="16"/>
                <w:szCs w:val="16"/>
              </w:rPr>
              <w:t>期权为R4,其余特定品种为R3。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8" w:hRule="exact"/>
          <w:jc w:val="center"/>
        </w:trPr>
        <w:tc>
          <w:tcPr>
            <w:tcW w:w="1661" w:type="dxa"/>
            <w:gridSpan w:val="2"/>
            <w:vMerge w:val="restart"/>
            <w:tcBorders>
              <w:tl2br w:val="nil"/>
              <w:tr2bl w:val="nil"/>
            </w:tcBorders>
            <w:shd w:val="clear" w:color="auto" w:fill="auto"/>
            <w:vAlign w:val="center"/>
          </w:tcPr>
          <w:p>
            <w:pPr>
              <w:spacing w:line="276" w:lineRule="auto"/>
              <w:rPr>
                <w:rFonts w:ascii="仿宋" w:hAnsi="仿宋" w:eastAsia="仿宋" w:cstheme="minorEastAsia"/>
                <w:sz w:val="18"/>
                <w:szCs w:val="18"/>
              </w:rPr>
            </w:pPr>
            <w:r>
              <w:rPr>
                <w:rFonts w:hint="eastAsia" w:ascii="仿宋" w:hAnsi="仿宋" w:eastAsia="仿宋" w:cstheme="minorEastAsia"/>
                <w:sz w:val="18"/>
                <w:szCs w:val="18"/>
              </w:rPr>
              <w:t>1.豁免期货知识、交易经历</w:t>
            </w:r>
          </w:p>
        </w:tc>
        <w:tc>
          <w:tcPr>
            <w:tcW w:w="8663" w:type="dxa"/>
            <w:gridSpan w:val="10"/>
            <w:tcBorders>
              <w:tl2br w:val="nil"/>
              <w:tr2bl w:val="nil"/>
            </w:tcBorders>
            <w:shd w:val="clear" w:color="auto" w:fill="auto"/>
            <w:vAlign w:val="center"/>
          </w:tcPr>
          <w:p>
            <w:pPr>
              <w:spacing w:line="276" w:lineRule="auto"/>
              <w:rPr>
                <w:rFonts w:ascii="仿宋" w:hAnsi="仿宋" w:eastAsia="仿宋" w:cstheme="minorEastAsia"/>
                <w:sz w:val="18"/>
                <w:szCs w:val="18"/>
              </w:rPr>
            </w:pPr>
            <w:r>
              <w:rPr>
                <w:rFonts w:hint="eastAsia" w:ascii="仿宋" w:hAnsi="仿宋" w:eastAsia="仿宋" w:cstheme="minorEastAsia"/>
                <w:sz w:val="18"/>
                <w:szCs w:val="18"/>
              </w:rPr>
              <w:t>□</w:t>
            </w:r>
            <w:r>
              <w:rPr>
                <w:rFonts w:hint="eastAsia" w:ascii="仿宋" w:hAnsi="仿宋" w:eastAsia="仿宋" w:cstheme="minorEastAsia"/>
                <w:kern w:val="0"/>
                <w:sz w:val="18"/>
                <w:szCs w:val="18"/>
              </w:rPr>
              <w:t>具有境内同一或其他交易所实行适当性制度的上市品种交易权限的客户；（指特定品种或期权）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9" w:hRule="exact"/>
          <w:jc w:val="center"/>
        </w:trPr>
        <w:tc>
          <w:tcPr>
            <w:tcW w:w="1661" w:type="dxa"/>
            <w:gridSpan w:val="2"/>
            <w:vMerge w:val="continue"/>
            <w:tcBorders>
              <w:tl2br w:val="nil"/>
              <w:tr2bl w:val="nil"/>
            </w:tcBorders>
            <w:shd w:val="clear" w:color="auto" w:fill="auto"/>
            <w:vAlign w:val="center"/>
          </w:tcPr>
          <w:p>
            <w:pPr>
              <w:spacing w:line="276" w:lineRule="auto"/>
              <w:jc w:val="center"/>
              <w:rPr>
                <w:rFonts w:ascii="仿宋" w:hAnsi="仿宋" w:eastAsia="仿宋" w:cstheme="minorEastAsia"/>
                <w:sz w:val="18"/>
                <w:szCs w:val="18"/>
              </w:rPr>
            </w:pPr>
          </w:p>
        </w:tc>
        <w:tc>
          <w:tcPr>
            <w:tcW w:w="8663" w:type="dxa"/>
            <w:gridSpan w:val="10"/>
            <w:tcBorders>
              <w:tl2br w:val="nil"/>
              <w:tr2bl w:val="nil"/>
            </w:tcBorders>
            <w:shd w:val="clear" w:color="auto" w:fill="auto"/>
            <w:vAlign w:val="center"/>
          </w:tcPr>
          <w:p>
            <w:pPr>
              <w:spacing w:line="276" w:lineRule="auto"/>
              <w:jc w:val="left"/>
              <w:rPr>
                <w:rFonts w:hint="default" w:ascii="仿宋" w:hAnsi="仿宋" w:eastAsia="仿宋" w:cstheme="minorEastAsia"/>
                <w:sz w:val="18"/>
                <w:szCs w:val="18"/>
                <w:lang w:val="en-US" w:eastAsia="zh-CN"/>
              </w:rPr>
            </w:pPr>
            <w:r>
              <w:rPr>
                <w:rFonts w:hint="eastAsia" w:ascii="仿宋" w:hAnsi="仿宋" w:eastAsia="仿宋" w:cstheme="minorEastAsia"/>
                <w:sz w:val="18"/>
                <w:szCs w:val="18"/>
              </w:rPr>
              <w:t>□</w:t>
            </w:r>
            <w:r>
              <w:rPr>
                <w:rFonts w:hint="eastAsia" w:ascii="仿宋" w:hAnsi="仿宋" w:eastAsia="仿宋" w:cstheme="minorEastAsia"/>
                <w:kern w:val="0"/>
                <w:sz w:val="18"/>
                <w:szCs w:val="18"/>
              </w:rPr>
              <w:t>具有金融期货交易编码</w:t>
            </w:r>
            <w:r>
              <w:rPr>
                <w:rFonts w:hint="eastAsia" w:ascii="仿宋" w:hAnsi="仿宋" w:eastAsia="仿宋" w:cstheme="minorEastAsia"/>
                <w:kern w:val="0"/>
                <w:sz w:val="18"/>
                <w:szCs w:val="18"/>
                <w:lang w:val="en-US" w:eastAsia="zh-CN"/>
              </w:rPr>
              <w:t xml:space="preserve">                   </w:t>
            </w:r>
            <w:r>
              <w:rPr>
                <w:rFonts w:hint="eastAsia" w:ascii="仿宋" w:hAnsi="仿宋" w:eastAsia="仿宋" w:cstheme="minorEastAsia"/>
                <w:sz w:val="18"/>
                <w:szCs w:val="18"/>
              </w:rPr>
              <w:t>□</w:t>
            </w:r>
            <w:r>
              <w:rPr>
                <w:rFonts w:hint="eastAsia" w:ascii="仿宋" w:hAnsi="仿宋" w:eastAsia="仿宋" w:cstheme="minorEastAsia"/>
                <w:kern w:val="0"/>
                <w:sz w:val="18"/>
                <w:szCs w:val="18"/>
              </w:rPr>
              <w:t>已有ETF股票期权权限的客户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0" w:hRule="exact"/>
          <w:jc w:val="center"/>
        </w:trPr>
        <w:tc>
          <w:tcPr>
            <w:tcW w:w="10324" w:type="dxa"/>
            <w:gridSpan w:val="12"/>
            <w:tcBorders>
              <w:tl2br w:val="nil"/>
              <w:tr2bl w:val="nil"/>
            </w:tcBorders>
            <w:shd w:val="clear" w:color="auto" w:fill="auto"/>
            <w:vAlign w:val="center"/>
          </w:tcPr>
          <w:p>
            <w:pPr>
              <w:spacing w:line="276" w:lineRule="auto"/>
              <w:rPr>
                <w:rFonts w:ascii="仿宋" w:hAnsi="仿宋" w:eastAsia="仿宋" w:cstheme="minorEastAsia"/>
                <w:sz w:val="18"/>
                <w:szCs w:val="18"/>
              </w:rPr>
            </w:pPr>
            <w:r>
              <w:rPr>
                <w:rFonts w:hint="eastAsia" w:ascii="仿宋" w:hAnsi="仿宋" w:eastAsia="仿宋" w:cstheme="minorEastAsia"/>
                <w:b/>
                <w:bCs/>
                <w:sz w:val="18"/>
                <w:szCs w:val="18"/>
              </w:rPr>
              <w:t>【资金要求】上述品种的适当性资金要求规定高于现申请品种资金要求的，无须进行资金评估（则适用三免），反之需要验资。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9" w:hRule="exact"/>
          <w:jc w:val="center"/>
        </w:trPr>
        <w:tc>
          <w:tcPr>
            <w:tcW w:w="1661" w:type="dxa"/>
            <w:gridSpan w:val="2"/>
            <w:vMerge w:val="restart"/>
            <w:tcBorders>
              <w:tl2br w:val="nil"/>
              <w:tr2bl w:val="nil"/>
            </w:tcBorders>
            <w:shd w:val="clear" w:color="auto" w:fill="auto"/>
            <w:vAlign w:val="center"/>
          </w:tcPr>
          <w:p>
            <w:pPr>
              <w:spacing w:line="276" w:lineRule="auto"/>
              <w:rPr>
                <w:rFonts w:ascii="仿宋" w:hAnsi="仿宋" w:eastAsia="仿宋" w:cstheme="minorEastAsia"/>
                <w:sz w:val="18"/>
                <w:szCs w:val="18"/>
              </w:rPr>
            </w:pPr>
            <w:r>
              <w:rPr>
                <w:rFonts w:hint="eastAsia" w:ascii="仿宋" w:hAnsi="仿宋" w:eastAsia="仿宋" w:cstheme="minorEastAsia"/>
                <w:sz w:val="18"/>
                <w:szCs w:val="18"/>
              </w:rPr>
              <w:t>2.豁免期货知识、交易经历、资金要求</w:t>
            </w:r>
          </w:p>
        </w:tc>
        <w:tc>
          <w:tcPr>
            <w:tcW w:w="8663" w:type="dxa"/>
            <w:gridSpan w:val="10"/>
            <w:tcBorders>
              <w:tl2br w:val="nil"/>
              <w:tr2bl w:val="nil"/>
            </w:tcBorders>
            <w:shd w:val="clear" w:color="auto" w:fill="auto"/>
            <w:vAlign w:val="center"/>
          </w:tcPr>
          <w:p>
            <w:pPr>
              <w:spacing w:line="276" w:lineRule="auto"/>
              <w:jc w:val="left"/>
              <w:rPr>
                <w:rFonts w:ascii="仿宋" w:hAnsi="仿宋" w:eastAsia="仿宋" w:cstheme="minorEastAsia"/>
                <w:sz w:val="18"/>
                <w:szCs w:val="18"/>
              </w:rPr>
            </w:pPr>
            <w:r>
              <w:rPr>
                <w:rFonts w:hint="eastAsia" w:ascii="仿宋" w:hAnsi="仿宋" w:eastAsia="仿宋" w:cstheme="minorEastAsia"/>
                <w:sz w:val="18"/>
                <w:szCs w:val="18"/>
              </w:rPr>
              <w:t>□符合《证券期货投资者适当性管理办法》规定的专业投资者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9" w:hRule="exact"/>
          <w:jc w:val="center"/>
        </w:trPr>
        <w:tc>
          <w:tcPr>
            <w:tcW w:w="1661" w:type="dxa"/>
            <w:gridSpan w:val="2"/>
            <w:vMerge w:val="continue"/>
            <w:tcBorders>
              <w:tl2br w:val="nil"/>
              <w:tr2bl w:val="nil"/>
            </w:tcBorders>
            <w:shd w:val="clear" w:color="auto" w:fill="auto"/>
            <w:vAlign w:val="center"/>
          </w:tcPr>
          <w:p>
            <w:pPr>
              <w:spacing w:line="276" w:lineRule="auto"/>
              <w:jc w:val="center"/>
              <w:rPr>
                <w:rFonts w:ascii="仿宋" w:hAnsi="仿宋" w:eastAsia="仿宋" w:cstheme="minorEastAsia"/>
                <w:sz w:val="18"/>
                <w:szCs w:val="18"/>
              </w:rPr>
            </w:pPr>
          </w:p>
        </w:tc>
        <w:tc>
          <w:tcPr>
            <w:tcW w:w="8663" w:type="dxa"/>
            <w:gridSpan w:val="10"/>
            <w:tcBorders>
              <w:tl2br w:val="nil"/>
              <w:tr2bl w:val="nil"/>
            </w:tcBorders>
            <w:shd w:val="clear" w:color="auto" w:fill="auto"/>
            <w:vAlign w:val="center"/>
          </w:tcPr>
          <w:p>
            <w:pPr>
              <w:spacing w:line="276" w:lineRule="auto"/>
              <w:jc w:val="left"/>
              <w:rPr>
                <w:rFonts w:ascii="仿宋" w:hAnsi="仿宋" w:eastAsia="仿宋" w:cstheme="minorEastAsia"/>
                <w:sz w:val="18"/>
                <w:szCs w:val="18"/>
              </w:rPr>
            </w:pPr>
            <w:r>
              <w:rPr>
                <w:rFonts w:hint="eastAsia" w:ascii="仿宋" w:hAnsi="仿宋" w:eastAsia="仿宋" w:cstheme="minorEastAsia"/>
                <w:sz w:val="18"/>
                <w:szCs w:val="18"/>
              </w:rPr>
              <w:t xml:space="preserve">□已开通实行适当性制度的某一品种交易权限的，再通过其他开户机构开通该品种交易权限（二次开户）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9" w:hRule="exact"/>
          <w:jc w:val="center"/>
        </w:trPr>
        <w:tc>
          <w:tcPr>
            <w:tcW w:w="1661" w:type="dxa"/>
            <w:gridSpan w:val="2"/>
            <w:vMerge w:val="continue"/>
            <w:tcBorders>
              <w:tl2br w:val="nil"/>
              <w:tr2bl w:val="nil"/>
            </w:tcBorders>
            <w:shd w:val="clear" w:color="auto" w:fill="auto"/>
            <w:vAlign w:val="center"/>
          </w:tcPr>
          <w:p>
            <w:pPr>
              <w:spacing w:line="276" w:lineRule="auto"/>
              <w:jc w:val="center"/>
              <w:rPr>
                <w:rFonts w:ascii="仿宋" w:hAnsi="仿宋" w:eastAsia="仿宋" w:cstheme="minorEastAsia"/>
                <w:sz w:val="18"/>
                <w:szCs w:val="18"/>
              </w:rPr>
            </w:pPr>
          </w:p>
        </w:tc>
        <w:tc>
          <w:tcPr>
            <w:tcW w:w="8663" w:type="dxa"/>
            <w:gridSpan w:val="10"/>
            <w:tcBorders>
              <w:tl2br w:val="nil"/>
              <w:tr2bl w:val="nil"/>
            </w:tcBorders>
            <w:shd w:val="clear" w:color="auto" w:fill="auto"/>
            <w:vAlign w:val="center"/>
          </w:tcPr>
          <w:p>
            <w:pPr>
              <w:spacing w:line="276" w:lineRule="auto"/>
              <w:jc w:val="left"/>
              <w:rPr>
                <w:rFonts w:ascii="仿宋" w:hAnsi="仿宋" w:eastAsia="仿宋" w:cstheme="minorEastAsia"/>
                <w:sz w:val="18"/>
                <w:szCs w:val="18"/>
              </w:rPr>
            </w:pPr>
            <w:r>
              <w:rPr>
                <w:rFonts w:hint="eastAsia" w:ascii="仿宋" w:hAnsi="仿宋" w:eastAsia="仿宋" w:cstheme="minorEastAsia"/>
                <w:sz w:val="18"/>
                <w:szCs w:val="18"/>
              </w:rPr>
              <w:t>□近一年内具有累计不少于50个交易日境内交易场所的期货、期权或集中清算的其他衍生品交易</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9" w:hRule="exact"/>
          <w:jc w:val="center"/>
        </w:trPr>
        <w:tc>
          <w:tcPr>
            <w:tcW w:w="1661" w:type="dxa"/>
            <w:gridSpan w:val="2"/>
            <w:vMerge w:val="continue"/>
            <w:tcBorders>
              <w:tl2br w:val="nil"/>
              <w:tr2bl w:val="nil"/>
            </w:tcBorders>
            <w:shd w:val="clear" w:color="auto" w:fill="auto"/>
            <w:vAlign w:val="center"/>
          </w:tcPr>
          <w:p>
            <w:pPr>
              <w:spacing w:line="276" w:lineRule="auto"/>
              <w:jc w:val="center"/>
              <w:rPr>
                <w:rFonts w:ascii="仿宋" w:hAnsi="仿宋" w:eastAsia="仿宋" w:cstheme="minorEastAsia"/>
                <w:sz w:val="18"/>
                <w:szCs w:val="18"/>
              </w:rPr>
            </w:pPr>
          </w:p>
        </w:tc>
        <w:tc>
          <w:tcPr>
            <w:tcW w:w="8663" w:type="dxa"/>
            <w:gridSpan w:val="10"/>
            <w:tcBorders>
              <w:tl2br w:val="nil"/>
              <w:tr2bl w:val="nil"/>
            </w:tcBorders>
            <w:shd w:val="clear" w:color="auto" w:fill="auto"/>
            <w:vAlign w:val="center"/>
          </w:tcPr>
          <w:p>
            <w:pPr>
              <w:spacing w:line="276" w:lineRule="auto"/>
              <w:jc w:val="left"/>
              <w:rPr>
                <w:rFonts w:ascii="仿宋" w:hAnsi="仿宋" w:eastAsia="仿宋" w:cstheme="minorEastAsia"/>
                <w:sz w:val="18"/>
                <w:szCs w:val="18"/>
              </w:rPr>
            </w:pPr>
            <w:r>
              <w:rPr>
                <w:rFonts w:hint="eastAsia" w:ascii="仿宋" w:hAnsi="仿宋" w:eastAsia="仿宋" w:cstheme="minorEastAsia"/>
                <w:sz w:val="18"/>
                <w:szCs w:val="18"/>
              </w:rPr>
              <w:t>□交易所认可的其他交易者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0324" w:type="dxa"/>
            <w:gridSpan w:val="12"/>
            <w:tcBorders>
              <w:tl2br w:val="nil"/>
              <w:tr2bl w:val="nil"/>
            </w:tcBorders>
            <w:shd w:val="clear" w:color="auto" w:fill="auto"/>
            <w:vAlign w:val="center"/>
          </w:tcPr>
          <w:p>
            <w:pPr>
              <w:spacing w:line="276" w:lineRule="auto"/>
              <w:jc w:val="left"/>
              <w:rPr>
                <w:rFonts w:ascii="仿宋" w:hAnsi="仿宋" w:eastAsia="仿宋" w:cstheme="minorEastAsia"/>
                <w:sz w:val="18"/>
                <w:szCs w:val="18"/>
              </w:rPr>
            </w:pPr>
            <w:r>
              <w:rPr>
                <w:rFonts w:hint="eastAsia" w:ascii="仿宋" w:hAnsi="仿宋" w:eastAsia="仿宋" w:cstheme="minorEastAsia"/>
                <w:b/>
                <w:bCs/>
                <w:sz w:val="18"/>
                <w:szCs w:val="18"/>
              </w:rPr>
              <w:t>七、适当性豁免评估情形（针对中金所期权品种）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9" w:hRule="exact"/>
          <w:jc w:val="center"/>
        </w:trPr>
        <w:tc>
          <w:tcPr>
            <w:tcW w:w="1661" w:type="dxa"/>
            <w:gridSpan w:val="2"/>
            <w:vMerge w:val="restart"/>
            <w:tcBorders>
              <w:tl2br w:val="nil"/>
              <w:tr2bl w:val="nil"/>
            </w:tcBorders>
            <w:shd w:val="clear" w:color="auto" w:fill="auto"/>
            <w:vAlign w:val="center"/>
          </w:tcPr>
          <w:p>
            <w:pPr>
              <w:spacing w:line="276" w:lineRule="auto"/>
              <w:jc w:val="both"/>
              <w:rPr>
                <w:rFonts w:ascii="仿宋" w:hAnsi="仿宋" w:eastAsia="仿宋" w:cstheme="minorEastAsia"/>
                <w:b/>
                <w:bCs/>
                <w:sz w:val="18"/>
                <w:szCs w:val="18"/>
              </w:rPr>
            </w:pPr>
            <w:r>
              <w:rPr>
                <w:rFonts w:hint="eastAsia" w:ascii="仿宋" w:hAnsi="仿宋" w:eastAsia="仿宋" w:cstheme="minorEastAsia"/>
                <w:sz w:val="18"/>
                <w:szCs w:val="18"/>
              </w:rPr>
              <w:t>1.豁免期货知识、交易经历</w:t>
            </w:r>
          </w:p>
        </w:tc>
        <w:tc>
          <w:tcPr>
            <w:tcW w:w="8663" w:type="dxa"/>
            <w:gridSpan w:val="10"/>
            <w:tcBorders>
              <w:tl2br w:val="nil"/>
              <w:tr2bl w:val="nil"/>
            </w:tcBorders>
            <w:shd w:val="clear" w:color="auto" w:fill="auto"/>
            <w:vAlign w:val="center"/>
          </w:tcPr>
          <w:p>
            <w:pPr>
              <w:spacing w:line="276" w:lineRule="auto"/>
              <w:jc w:val="left"/>
              <w:rPr>
                <w:rFonts w:ascii="仿宋" w:hAnsi="仿宋" w:eastAsia="仿宋" w:cstheme="minorEastAsia"/>
                <w:b/>
                <w:bCs/>
                <w:sz w:val="18"/>
                <w:szCs w:val="18"/>
              </w:rPr>
            </w:pPr>
            <w:r>
              <w:rPr>
                <w:rFonts w:hint="eastAsia" w:ascii="仿宋" w:hAnsi="仿宋" w:eastAsia="仿宋" w:cstheme="minorEastAsia"/>
                <w:sz w:val="18"/>
                <w:szCs w:val="18"/>
              </w:rPr>
              <w:t>□具有境内其他交易场所实行适当性制度的上市品种交易权限的客户；（指特定品种或期权）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9" w:hRule="exact"/>
          <w:jc w:val="center"/>
        </w:trPr>
        <w:tc>
          <w:tcPr>
            <w:tcW w:w="1661" w:type="dxa"/>
            <w:gridSpan w:val="2"/>
            <w:vMerge w:val="continue"/>
            <w:tcBorders>
              <w:tl2br w:val="nil"/>
              <w:tr2bl w:val="nil"/>
            </w:tcBorders>
            <w:shd w:val="clear" w:color="auto" w:fill="auto"/>
            <w:vAlign w:val="center"/>
          </w:tcPr>
          <w:p>
            <w:pPr>
              <w:spacing w:line="276" w:lineRule="auto"/>
              <w:jc w:val="left"/>
              <w:rPr>
                <w:rFonts w:ascii="仿宋" w:hAnsi="仿宋" w:eastAsia="仿宋" w:cstheme="minorEastAsia"/>
                <w:b/>
                <w:bCs/>
                <w:sz w:val="18"/>
                <w:szCs w:val="18"/>
              </w:rPr>
            </w:pPr>
          </w:p>
        </w:tc>
        <w:tc>
          <w:tcPr>
            <w:tcW w:w="8663" w:type="dxa"/>
            <w:gridSpan w:val="10"/>
            <w:tcBorders>
              <w:tl2br w:val="nil"/>
              <w:tr2bl w:val="nil"/>
            </w:tcBorders>
            <w:shd w:val="clear" w:color="auto" w:fill="auto"/>
            <w:vAlign w:val="center"/>
          </w:tcPr>
          <w:p>
            <w:pPr>
              <w:spacing w:line="276" w:lineRule="auto"/>
              <w:jc w:val="left"/>
              <w:rPr>
                <w:rFonts w:ascii="仿宋" w:hAnsi="仿宋" w:eastAsia="仿宋" w:cstheme="minorEastAsia"/>
                <w:b/>
                <w:bCs/>
                <w:sz w:val="18"/>
                <w:szCs w:val="18"/>
              </w:rPr>
            </w:pPr>
            <w:r>
              <w:rPr>
                <w:rFonts w:hint="eastAsia" w:ascii="仿宋" w:hAnsi="仿宋" w:eastAsia="仿宋" w:cstheme="minorEastAsia"/>
                <w:sz w:val="18"/>
                <w:szCs w:val="18"/>
              </w:rPr>
              <w:t>□近一年内具有累计不少于50个交易日境内交易场所的期货、期权或集中清算的其他衍生品交易</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9" w:hRule="exact"/>
          <w:jc w:val="center"/>
        </w:trPr>
        <w:tc>
          <w:tcPr>
            <w:tcW w:w="1661" w:type="dxa"/>
            <w:gridSpan w:val="2"/>
            <w:vMerge w:val="continue"/>
            <w:tcBorders>
              <w:tl2br w:val="nil"/>
              <w:tr2bl w:val="nil"/>
            </w:tcBorders>
            <w:shd w:val="clear" w:color="auto" w:fill="auto"/>
            <w:vAlign w:val="center"/>
          </w:tcPr>
          <w:p>
            <w:pPr>
              <w:spacing w:line="276" w:lineRule="auto"/>
              <w:jc w:val="left"/>
              <w:rPr>
                <w:rFonts w:ascii="仿宋" w:hAnsi="仿宋" w:eastAsia="仿宋" w:cstheme="minorEastAsia"/>
                <w:b/>
                <w:bCs/>
                <w:sz w:val="18"/>
                <w:szCs w:val="18"/>
              </w:rPr>
            </w:pPr>
          </w:p>
        </w:tc>
        <w:tc>
          <w:tcPr>
            <w:tcW w:w="8663" w:type="dxa"/>
            <w:gridSpan w:val="10"/>
            <w:tcBorders>
              <w:tl2br w:val="nil"/>
              <w:tr2bl w:val="nil"/>
            </w:tcBorders>
            <w:shd w:val="clear" w:color="auto" w:fill="auto"/>
            <w:vAlign w:val="center"/>
          </w:tcPr>
          <w:p>
            <w:pPr>
              <w:spacing w:line="276" w:lineRule="auto"/>
              <w:jc w:val="left"/>
              <w:rPr>
                <w:rFonts w:ascii="仿宋" w:hAnsi="仿宋" w:eastAsia="仿宋" w:cstheme="minorEastAsia"/>
                <w:b/>
                <w:bCs/>
                <w:sz w:val="18"/>
                <w:szCs w:val="18"/>
              </w:rPr>
            </w:pPr>
            <w:r>
              <w:rPr>
                <w:rFonts w:hint="eastAsia" w:ascii="仿宋" w:hAnsi="仿宋" w:eastAsia="仿宋" w:cstheme="minorEastAsia"/>
                <w:sz w:val="18"/>
                <w:szCs w:val="18"/>
              </w:rPr>
              <w:t>□原油交易编码的客户（未验资客户）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9" w:hRule="exact"/>
          <w:jc w:val="center"/>
        </w:trPr>
        <w:tc>
          <w:tcPr>
            <w:tcW w:w="10324" w:type="dxa"/>
            <w:gridSpan w:val="12"/>
            <w:tcBorders>
              <w:tl2br w:val="nil"/>
              <w:tr2bl w:val="nil"/>
            </w:tcBorders>
            <w:shd w:val="clear" w:color="auto" w:fill="auto"/>
            <w:vAlign w:val="center"/>
          </w:tcPr>
          <w:p>
            <w:pPr>
              <w:spacing w:line="276" w:lineRule="auto"/>
              <w:jc w:val="left"/>
              <w:rPr>
                <w:rFonts w:ascii="仿宋" w:hAnsi="仿宋" w:eastAsia="仿宋" w:cstheme="minorEastAsia"/>
                <w:b/>
                <w:bCs/>
                <w:sz w:val="18"/>
                <w:szCs w:val="18"/>
              </w:rPr>
            </w:pPr>
            <w:r>
              <w:rPr>
                <w:rFonts w:hint="eastAsia" w:ascii="仿宋" w:hAnsi="仿宋" w:eastAsia="仿宋" w:cstheme="minorEastAsia"/>
                <w:b/>
                <w:bCs/>
                <w:sz w:val="18"/>
                <w:szCs w:val="18"/>
              </w:rPr>
              <w:t>【资金要求】需满足可用资金大于</w:t>
            </w:r>
            <w:r>
              <w:rPr>
                <w:rFonts w:ascii="仿宋" w:hAnsi="仿宋" w:eastAsia="仿宋" w:cstheme="minorEastAsia"/>
                <w:b/>
                <w:bCs/>
                <w:sz w:val="18"/>
                <w:szCs w:val="18"/>
              </w:rPr>
              <w:t>50万的要求。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9" w:hRule="exact"/>
          <w:jc w:val="center"/>
        </w:trPr>
        <w:tc>
          <w:tcPr>
            <w:tcW w:w="1661" w:type="dxa"/>
            <w:gridSpan w:val="2"/>
            <w:vMerge w:val="restart"/>
            <w:tcBorders>
              <w:tl2br w:val="nil"/>
              <w:tr2bl w:val="nil"/>
            </w:tcBorders>
            <w:shd w:val="clear" w:color="auto" w:fill="auto"/>
            <w:vAlign w:val="center"/>
          </w:tcPr>
          <w:p>
            <w:pPr>
              <w:spacing w:line="276" w:lineRule="auto"/>
              <w:jc w:val="left"/>
              <w:rPr>
                <w:rFonts w:hint="eastAsia" w:ascii="仿宋" w:hAnsi="仿宋" w:eastAsia="仿宋" w:cstheme="minorEastAsia"/>
                <w:b/>
                <w:bCs/>
                <w:sz w:val="18"/>
                <w:szCs w:val="18"/>
              </w:rPr>
            </w:pPr>
            <w:r>
              <w:rPr>
                <w:rFonts w:hint="eastAsia" w:ascii="仿宋" w:hAnsi="仿宋" w:eastAsia="仿宋" w:cstheme="minorEastAsia"/>
                <w:sz w:val="18"/>
                <w:szCs w:val="18"/>
              </w:rPr>
              <w:t>2.豁免期货知识、交易经历、资金要求</w:t>
            </w:r>
          </w:p>
        </w:tc>
        <w:tc>
          <w:tcPr>
            <w:tcW w:w="8663" w:type="dxa"/>
            <w:gridSpan w:val="10"/>
            <w:tcBorders>
              <w:tl2br w:val="nil"/>
              <w:tr2bl w:val="nil"/>
            </w:tcBorders>
            <w:shd w:val="clear" w:color="auto" w:fill="auto"/>
            <w:vAlign w:val="center"/>
          </w:tcPr>
          <w:p>
            <w:pPr>
              <w:spacing w:line="276" w:lineRule="auto"/>
              <w:jc w:val="left"/>
              <w:rPr>
                <w:rFonts w:hint="eastAsia" w:ascii="仿宋" w:hAnsi="仿宋" w:eastAsia="仿宋" w:cstheme="minorEastAsia"/>
                <w:b/>
                <w:bCs/>
                <w:sz w:val="18"/>
                <w:szCs w:val="18"/>
              </w:rPr>
            </w:pPr>
            <w:r>
              <w:rPr>
                <w:rFonts w:hint="eastAsia" w:ascii="仿宋" w:hAnsi="仿宋" w:eastAsia="仿宋" w:cstheme="minorEastAsia"/>
                <w:sz w:val="18"/>
                <w:szCs w:val="18"/>
              </w:rPr>
              <w:t>□符合《证券期货投资者适当性管理办法》规定的专业投资者</w:t>
            </w:r>
            <w:r>
              <w:rPr>
                <w:rFonts w:hint="eastAsia" w:ascii="仿宋" w:hAnsi="仿宋" w:eastAsia="仿宋" w:cstheme="minorEastAsia"/>
                <w:sz w:val="18"/>
                <w:szCs w:val="18"/>
                <w:lang w:val="en-US" w:eastAsia="zh-CN"/>
              </w:rPr>
              <w:t xml:space="preserve">    </w:t>
            </w:r>
            <w:r>
              <w:rPr>
                <w:rFonts w:hint="eastAsia" w:ascii="仿宋" w:hAnsi="仿宋" w:eastAsia="仿宋" w:cstheme="minorEastAsia"/>
                <w:sz w:val="18"/>
                <w:szCs w:val="18"/>
              </w:rPr>
              <w:t>□已有ETF股票期权权限的客户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9" w:hRule="exact"/>
          <w:jc w:val="center"/>
        </w:trPr>
        <w:tc>
          <w:tcPr>
            <w:tcW w:w="1661" w:type="dxa"/>
            <w:gridSpan w:val="2"/>
            <w:vMerge w:val="continue"/>
            <w:tcBorders>
              <w:tl2br w:val="nil"/>
              <w:tr2bl w:val="nil"/>
            </w:tcBorders>
            <w:shd w:val="clear" w:color="auto" w:fill="auto"/>
            <w:vAlign w:val="center"/>
          </w:tcPr>
          <w:p>
            <w:pPr>
              <w:spacing w:line="276" w:lineRule="auto"/>
              <w:jc w:val="left"/>
              <w:rPr>
                <w:rFonts w:hint="eastAsia" w:ascii="仿宋" w:hAnsi="仿宋" w:eastAsia="仿宋" w:cstheme="minorEastAsia"/>
                <w:b/>
                <w:bCs/>
                <w:sz w:val="18"/>
                <w:szCs w:val="18"/>
              </w:rPr>
            </w:pPr>
          </w:p>
        </w:tc>
        <w:tc>
          <w:tcPr>
            <w:tcW w:w="8663" w:type="dxa"/>
            <w:gridSpan w:val="10"/>
            <w:tcBorders>
              <w:tl2br w:val="nil"/>
              <w:tr2bl w:val="nil"/>
            </w:tcBorders>
            <w:shd w:val="clear" w:color="auto" w:fill="auto"/>
            <w:vAlign w:val="center"/>
          </w:tcPr>
          <w:p>
            <w:pPr>
              <w:spacing w:line="276" w:lineRule="auto"/>
              <w:jc w:val="left"/>
              <w:rPr>
                <w:rFonts w:hint="eastAsia" w:ascii="仿宋" w:hAnsi="仿宋" w:eastAsia="仿宋" w:cstheme="minorEastAsia"/>
                <w:b/>
                <w:bCs/>
                <w:sz w:val="18"/>
                <w:szCs w:val="18"/>
              </w:rPr>
            </w:pPr>
            <w:r>
              <w:rPr>
                <w:rFonts w:hint="eastAsia" w:ascii="仿宋" w:hAnsi="仿宋" w:eastAsia="仿宋" w:cstheme="minorEastAsia"/>
                <w:sz w:val="18"/>
                <w:szCs w:val="18"/>
              </w:rPr>
              <w:t>□已有能源中心交易编码的客户（已验资客户）</w:t>
            </w:r>
            <w:r>
              <w:rPr>
                <w:rFonts w:hint="eastAsia" w:ascii="仿宋" w:hAnsi="仿宋" w:eastAsia="仿宋" w:cstheme="minorEastAsia"/>
                <w:sz w:val="18"/>
                <w:szCs w:val="18"/>
                <w:lang w:val="en-US" w:eastAsia="zh-CN"/>
              </w:rPr>
              <w:t xml:space="preserve">  </w:t>
            </w:r>
            <w:r>
              <w:rPr>
                <w:rFonts w:hint="eastAsia" w:ascii="仿宋" w:hAnsi="仿宋" w:eastAsia="仿宋" w:cstheme="minorEastAsia"/>
                <w:sz w:val="18"/>
                <w:szCs w:val="18"/>
              </w:rPr>
              <w:t>□做市商、特殊单位投资者等交易所认可的其他交易者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9" w:hRule="exact"/>
          <w:jc w:val="center"/>
        </w:trPr>
        <w:tc>
          <w:tcPr>
            <w:tcW w:w="1661" w:type="dxa"/>
            <w:gridSpan w:val="2"/>
            <w:vMerge w:val="continue"/>
            <w:tcBorders>
              <w:tl2br w:val="nil"/>
              <w:tr2bl w:val="nil"/>
            </w:tcBorders>
            <w:shd w:val="clear" w:color="auto" w:fill="auto"/>
            <w:vAlign w:val="center"/>
          </w:tcPr>
          <w:p>
            <w:pPr>
              <w:spacing w:line="276" w:lineRule="auto"/>
              <w:jc w:val="left"/>
              <w:rPr>
                <w:rFonts w:hint="eastAsia" w:ascii="仿宋" w:hAnsi="仿宋" w:eastAsia="仿宋" w:cstheme="minorEastAsia"/>
                <w:b/>
                <w:bCs/>
                <w:sz w:val="18"/>
                <w:szCs w:val="18"/>
              </w:rPr>
            </w:pPr>
          </w:p>
        </w:tc>
        <w:tc>
          <w:tcPr>
            <w:tcW w:w="8663" w:type="dxa"/>
            <w:gridSpan w:val="10"/>
            <w:tcBorders>
              <w:tl2br w:val="nil"/>
              <w:tr2bl w:val="nil"/>
            </w:tcBorders>
            <w:shd w:val="clear" w:color="auto" w:fill="auto"/>
            <w:vAlign w:val="center"/>
          </w:tcPr>
          <w:p>
            <w:pPr>
              <w:spacing w:line="276" w:lineRule="auto"/>
              <w:jc w:val="left"/>
              <w:rPr>
                <w:rFonts w:hint="eastAsia" w:ascii="仿宋" w:hAnsi="仿宋" w:eastAsia="仿宋" w:cstheme="minorEastAsia"/>
                <w:b/>
                <w:bCs/>
                <w:sz w:val="18"/>
                <w:szCs w:val="18"/>
              </w:rPr>
            </w:pPr>
            <w:r>
              <w:rPr>
                <w:rFonts w:hint="eastAsia" w:ascii="仿宋" w:hAnsi="仿宋" w:eastAsia="仿宋" w:cstheme="minorEastAsia"/>
                <w:sz w:val="18"/>
                <w:szCs w:val="18"/>
              </w:rPr>
              <w:t>□已有中金所编码，通过我司再次申请金融编码客户（二次开户）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3" w:hRule="exact"/>
          <w:jc w:val="center"/>
        </w:trPr>
        <w:tc>
          <w:tcPr>
            <w:tcW w:w="3176" w:type="dxa"/>
            <w:gridSpan w:val="4"/>
            <w:tcBorders>
              <w:tl2br w:val="nil"/>
              <w:tr2bl w:val="nil"/>
            </w:tcBorders>
            <w:shd w:val="clear" w:color="auto" w:fill="auto"/>
            <w:vAlign w:val="center"/>
          </w:tcPr>
          <w:p>
            <w:pPr>
              <w:spacing w:line="276" w:lineRule="auto"/>
              <w:jc w:val="left"/>
              <w:rPr>
                <w:rFonts w:hint="eastAsia" w:ascii="仿宋" w:hAnsi="仿宋" w:eastAsia="仿宋" w:cstheme="minorEastAsia"/>
                <w:b/>
                <w:bCs/>
                <w:sz w:val="18"/>
                <w:szCs w:val="18"/>
              </w:rPr>
            </w:pPr>
            <w:r>
              <w:rPr>
                <w:rFonts w:hint="eastAsia" w:ascii="仿宋" w:hAnsi="仿宋" w:eastAsia="仿宋" w:cstheme="minorEastAsia"/>
                <w:b/>
                <w:bCs/>
                <w:sz w:val="18"/>
                <w:szCs w:val="18"/>
              </w:rPr>
              <w:t>经办人（签字）/日期</w:t>
            </w:r>
          </w:p>
        </w:tc>
        <w:tc>
          <w:tcPr>
            <w:tcW w:w="3204" w:type="dxa"/>
            <w:gridSpan w:val="3"/>
            <w:tcBorders>
              <w:tl2br w:val="nil"/>
              <w:tr2bl w:val="nil"/>
            </w:tcBorders>
            <w:shd w:val="clear" w:color="auto" w:fill="auto"/>
            <w:vAlign w:val="center"/>
          </w:tcPr>
          <w:p>
            <w:pPr>
              <w:spacing w:line="276" w:lineRule="auto"/>
              <w:jc w:val="left"/>
              <w:rPr>
                <w:rFonts w:hint="eastAsia" w:ascii="仿宋" w:hAnsi="仿宋" w:eastAsia="仿宋" w:cstheme="minorEastAsia"/>
                <w:b/>
                <w:bCs/>
                <w:sz w:val="18"/>
                <w:szCs w:val="18"/>
              </w:rPr>
            </w:pPr>
            <w:r>
              <w:rPr>
                <w:rFonts w:hint="eastAsia" w:ascii="仿宋" w:hAnsi="仿宋" w:eastAsia="仿宋" w:cstheme="minorEastAsia"/>
                <w:b/>
                <w:bCs/>
                <w:sz w:val="18"/>
                <w:szCs w:val="18"/>
              </w:rPr>
              <w:t>复核人（签字）/日期</w:t>
            </w:r>
          </w:p>
        </w:tc>
        <w:tc>
          <w:tcPr>
            <w:tcW w:w="3944" w:type="dxa"/>
            <w:gridSpan w:val="5"/>
            <w:tcBorders>
              <w:tl2br w:val="nil"/>
              <w:tr2bl w:val="nil"/>
            </w:tcBorders>
            <w:shd w:val="clear" w:color="auto" w:fill="auto"/>
            <w:vAlign w:val="center"/>
          </w:tcPr>
          <w:p>
            <w:pPr>
              <w:spacing w:line="276" w:lineRule="auto"/>
              <w:jc w:val="left"/>
              <w:rPr>
                <w:rFonts w:hint="eastAsia" w:ascii="仿宋" w:hAnsi="仿宋" w:eastAsia="仿宋" w:cstheme="minorEastAsia"/>
                <w:b/>
                <w:bCs/>
                <w:sz w:val="18"/>
                <w:szCs w:val="18"/>
              </w:rPr>
            </w:pPr>
            <w:r>
              <w:rPr>
                <w:rFonts w:hint="eastAsia" w:ascii="仿宋" w:hAnsi="仿宋" w:eastAsia="仿宋" w:cstheme="minorEastAsia"/>
                <w:b/>
                <w:bCs/>
                <w:sz w:val="18"/>
                <w:szCs w:val="18"/>
              </w:rPr>
              <w:t>交易服务部负责人（签字）/日期</w:t>
            </w:r>
          </w:p>
        </w:tc>
      </w:tr>
    </w:tbl>
    <w:p>
      <w:pPr>
        <w:numPr>
          <w:ilvl w:val="0"/>
          <w:numId w:val="0"/>
        </w:numPr>
        <w:ind w:leftChars="0"/>
        <w:jc w:val="both"/>
        <w:rPr>
          <w:rFonts w:hint="eastAsia" w:ascii="微软雅黑" w:hAnsi="微软雅黑" w:eastAsia="微软雅黑"/>
          <w:b/>
          <w:bCs/>
          <w:sz w:val="32"/>
          <w:szCs w:val="44"/>
        </w:rPr>
        <w:sectPr>
          <w:pgSz w:w="11906" w:h="16838"/>
          <w:pgMar w:top="550" w:right="663" w:bottom="720" w:left="663" w:header="851" w:footer="992" w:gutter="0"/>
          <w:cols w:space="425" w:num="1"/>
          <w:docGrid w:type="lines" w:linePitch="312" w:charSpace="0"/>
        </w:sectPr>
      </w:pPr>
    </w:p>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黑体" w:hAnsi="黑体" w:eastAsia="黑体" w:cs="黑体"/>
        </w:rPr>
      </w:pPr>
      <w:bookmarkStart w:id="1" w:name="_Toc16203"/>
      <w:r>
        <w:rPr>
          <w:rFonts w:hint="eastAsia" w:ascii="黑体" w:hAnsi="黑体" w:eastAsia="黑体" w:cs="黑体"/>
        </w:rPr>
        <w:t>期权业务特别风险揭示</w:t>
      </w:r>
      <w:bookmarkEnd w:id="1"/>
    </w:p>
    <w:p>
      <w:pPr>
        <w:spacing w:line="600" w:lineRule="exact"/>
        <w:jc w:val="center"/>
        <w:rPr>
          <w:rFonts w:ascii="Calibri" w:hAnsi="Calibri" w:eastAsia="宋体" w:cs="Times New Roman"/>
          <w:b/>
          <w:bCs/>
          <w:sz w:val="36"/>
          <w:szCs w:val="36"/>
        </w:rPr>
      </w:pPr>
      <w:r>
        <w:rPr>
          <w:rFonts w:hint="eastAsia" w:ascii="Calibri" w:hAnsi="Calibri" w:eastAsia="宋体" w:cs="Times New Roman"/>
          <w:b/>
          <w:bCs/>
          <w:sz w:val="36"/>
          <w:szCs w:val="36"/>
        </w:rPr>
        <w:t>市场风险莫测　务请谨慎从事</w:t>
      </w:r>
    </w:p>
    <w:p>
      <w:pPr>
        <w:spacing w:line="600" w:lineRule="exact"/>
        <w:jc w:val="center"/>
        <w:rPr>
          <w:rFonts w:ascii="Calibri" w:hAnsi="Calibri" w:eastAsia="宋体" w:cs="Times New Roman"/>
          <w:b/>
          <w:bCs/>
          <w:sz w:val="36"/>
          <w:szCs w:val="36"/>
        </w:rPr>
      </w:pPr>
    </w:p>
    <w:p>
      <w:pPr>
        <w:spacing w:line="360" w:lineRule="auto"/>
        <w:rPr>
          <w:rFonts w:ascii="仿宋" w:hAnsi="仿宋" w:eastAsia="仿宋" w:cs="Times New Roman"/>
          <w:b/>
          <w:sz w:val="24"/>
          <w:szCs w:val="24"/>
        </w:rPr>
      </w:pPr>
      <w:r>
        <w:rPr>
          <w:rFonts w:hint="eastAsia" w:ascii="仿宋" w:hAnsi="仿宋" w:eastAsia="仿宋" w:cs="Times New Roman"/>
          <w:b/>
          <w:sz w:val="24"/>
          <w:szCs w:val="24"/>
        </w:rPr>
        <w:t>尊敬的客户：</w:t>
      </w:r>
    </w:p>
    <w:p>
      <w:pPr>
        <w:widowControl w:val="0"/>
        <w:tabs>
          <w:tab w:val="left" w:pos="993"/>
          <w:tab w:val="left" w:pos="1134"/>
        </w:tabs>
        <w:spacing w:line="360" w:lineRule="auto"/>
        <w:ind w:firstLine="420" w:firstLineChars="0"/>
        <w:jc w:val="both"/>
        <w:rPr>
          <w:rFonts w:ascii="仿宋" w:hAnsi="仿宋" w:eastAsia="仿宋" w:cs="Times New Roman"/>
          <w:b/>
          <w:kern w:val="2"/>
          <w:sz w:val="24"/>
          <w:szCs w:val="24"/>
          <w:lang w:val="en-US" w:eastAsia="zh-CN" w:bidi="ar-SA"/>
        </w:rPr>
      </w:pPr>
      <w:r>
        <w:rPr>
          <w:rFonts w:hint="eastAsia" w:ascii="仿宋" w:hAnsi="仿宋" w:eastAsia="仿宋" w:cs="Times New Roman"/>
          <w:b/>
          <w:kern w:val="2"/>
          <w:sz w:val="24"/>
          <w:szCs w:val="24"/>
          <w:lang w:val="en-US" w:eastAsia="zh-CN" w:bidi="ar-SA"/>
        </w:rPr>
        <w:t>为了使您充分了解期权业务风险，华创期货有限责任公司（以下简称“我公司”）制订《期权业务特别风险揭示书》（以下简称“风险揭示书”），向您充分揭示相关业务存在的风险，由您仔细阅读并签字确认。客户若开通期权交易权限，则本风险揭示书为《期货经纪合同》不可分割的一部分。在决定进行期权交易之前，您应当充分了解以下事项：</w:t>
      </w:r>
    </w:p>
    <w:p>
      <w:pPr>
        <w:widowControl w:val="0"/>
        <w:numPr>
          <w:ilvl w:val="0"/>
          <w:numId w:val="1"/>
        </w:numPr>
        <w:tabs>
          <w:tab w:val="left" w:pos="1134"/>
          <w:tab w:val="left" w:pos="1418"/>
        </w:tabs>
        <w:spacing w:line="360" w:lineRule="auto"/>
        <w:ind w:left="0" w:firstLine="567" w:firstLineChars="0"/>
        <w:jc w:val="both"/>
        <w:rPr>
          <w:rFonts w:ascii="仿宋" w:hAnsi="仿宋" w:eastAsia="仿宋" w:cs="Times New Roman"/>
          <w:b/>
          <w:kern w:val="2"/>
          <w:sz w:val="24"/>
          <w:szCs w:val="24"/>
          <w:lang w:val="en-US" w:eastAsia="zh-CN" w:bidi="ar-SA"/>
        </w:rPr>
      </w:pPr>
      <w:r>
        <w:rPr>
          <w:rFonts w:hint="eastAsia" w:ascii="仿宋" w:hAnsi="仿宋" w:eastAsia="仿宋" w:cs="Times New Roman"/>
          <w:b/>
          <w:kern w:val="2"/>
          <w:sz w:val="24"/>
          <w:szCs w:val="24"/>
          <w:lang w:val="en-US" w:eastAsia="zh-CN" w:bidi="ar-SA"/>
        </w:rPr>
        <w:t>提示您在办理期权业务前，应当充分理解期权投资者应当具备的经济能力、专业知识和投资经验，全面评估自身的经济承受能力、投资经历、产品认知能力、风险控制能力、身体及心理承受能力等，审慎决定是否参与期权业务。</w:t>
      </w:r>
    </w:p>
    <w:p>
      <w:pPr>
        <w:widowControl w:val="0"/>
        <w:numPr>
          <w:ilvl w:val="0"/>
          <w:numId w:val="1"/>
        </w:numPr>
        <w:tabs>
          <w:tab w:val="left" w:pos="1134"/>
          <w:tab w:val="left" w:pos="1418"/>
        </w:tabs>
        <w:spacing w:line="360" w:lineRule="auto"/>
        <w:ind w:left="0" w:firstLine="567" w:firstLineChars="0"/>
        <w:jc w:val="both"/>
        <w:rPr>
          <w:rFonts w:ascii="仿宋" w:hAnsi="仿宋" w:eastAsia="仿宋" w:cs="Times New Roman"/>
          <w:b/>
          <w:kern w:val="2"/>
          <w:sz w:val="24"/>
          <w:szCs w:val="24"/>
          <w:lang w:val="en-US" w:eastAsia="zh-CN" w:bidi="ar-SA"/>
        </w:rPr>
      </w:pPr>
      <w:r>
        <w:rPr>
          <w:rFonts w:hint="eastAsia" w:ascii="仿宋" w:hAnsi="仿宋" w:eastAsia="仿宋" w:cs="Times New Roman"/>
          <w:b/>
          <w:kern w:val="2"/>
          <w:sz w:val="24"/>
          <w:szCs w:val="24"/>
          <w:lang w:val="en-US" w:eastAsia="zh-CN" w:bidi="ar-SA"/>
        </w:rPr>
        <w:t>提示您在办理期权业务前，应当了解期权的基础知识、相关法律、法规、规章、交易所业务规则和各类公告信息、中国期货市场监控中心业务规则、中国期货业协会自律规则和各类公告信息以及我公司的相关文件。</w:t>
      </w:r>
    </w:p>
    <w:p>
      <w:pPr>
        <w:widowControl w:val="0"/>
        <w:numPr>
          <w:ilvl w:val="0"/>
          <w:numId w:val="1"/>
        </w:numPr>
        <w:tabs>
          <w:tab w:val="left" w:pos="1134"/>
          <w:tab w:val="left" w:pos="1418"/>
        </w:tabs>
        <w:spacing w:line="360" w:lineRule="auto"/>
        <w:ind w:left="0" w:firstLine="567" w:firstLineChars="0"/>
        <w:jc w:val="both"/>
        <w:rPr>
          <w:rFonts w:ascii="仿宋" w:hAnsi="仿宋" w:eastAsia="仿宋" w:cs="Times New Roman"/>
          <w:b/>
          <w:kern w:val="2"/>
          <w:sz w:val="24"/>
          <w:szCs w:val="24"/>
          <w:lang w:val="en-US" w:eastAsia="zh-CN" w:bidi="ar-SA"/>
        </w:rPr>
      </w:pPr>
      <w:r>
        <w:rPr>
          <w:rFonts w:hint="eastAsia" w:ascii="仿宋" w:hAnsi="仿宋" w:eastAsia="仿宋" w:cs="Times New Roman"/>
          <w:b/>
          <w:kern w:val="2"/>
          <w:sz w:val="24"/>
          <w:szCs w:val="24"/>
          <w:lang w:val="en-US" w:eastAsia="zh-CN" w:bidi="ar-SA"/>
        </w:rPr>
        <w:t>提示您在办理期权业务前，应当充分了解期权业务的风险特点。期权不同于期货交易业务，具有更高杠杆、更高风险性和更高联动性等特征的金融衍生工具。期权卖方采用保证金交易方式，潜在损失可能成倍放大，损失的总额可能超过全部保证金。</w:t>
      </w:r>
    </w:p>
    <w:p>
      <w:pPr>
        <w:widowControl w:val="0"/>
        <w:numPr>
          <w:ilvl w:val="0"/>
          <w:numId w:val="1"/>
        </w:numPr>
        <w:tabs>
          <w:tab w:val="left" w:pos="1134"/>
          <w:tab w:val="left" w:pos="1418"/>
        </w:tabs>
        <w:spacing w:line="360" w:lineRule="auto"/>
        <w:ind w:left="0" w:firstLine="567" w:firstLineChars="0"/>
        <w:jc w:val="both"/>
        <w:rPr>
          <w:rFonts w:ascii="仿宋" w:hAnsi="仿宋" w:eastAsia="仿宋" w:cs="Times New Roman"/>
          <w:b/>
          <w:kern w:val="2"/>
          <w:sz w:val="24"/>
          <w:szCs w:val="24"/>
          <w:lang w:val="en-US" w:eastAsia="zh-CN" w:bidi="ar-SA"/>
        </w:rPr>
      </w:pPr>
      <w:r>
        <w:rPr>
          <w:rFonts w:hint="eastAsia" w:ascii="仿宋" w:hAnsi="仿宋" w:eastAsia="仿宋" w:cs="Times New Roman"/>
          <w:b/>
          <w:kern w:val="2"/>
          <w:sz w:val="24"/>
          <w:szCs w:val="24"/>
          <w:lang w:val="en-US" w:eastAsia="zh-CN" w:bidi="ar-SA"/>
        </w:rPr>
        <w:t>提示您期权交易的风险与国家的基本经济情况、影响期权及其相关市场供求的因素、影响标的合约价值的因素、影响期权市场波动率、流动性以及有效性的因素或者其他影响单个期权合约价值的特有因素、特定时期期权市场的质量或者运行情况等因素相关，您应当予以关注并了解。</w:t>
      </w:r>
    </w:p>
    <w:p>
      <w:pPr>
        <w:widowControl w:val="0"/>
        <w:numPr>
          <w:ilvl w:val="0"/>
          <w:numId w:val="1"/>
        </w:numPr>
        <w:tabs>
          <w:tab w:val="left" w:pos="1134"/>
          <w:tab w:val="left" w:pos="1418"/>
        </w:tabs>
        <w:spacing w:line="360" w:lineRule="auto"/>
        <w:ind w:left="0" w:firstLine="567" w:firstLineChars="0"/>
        <w:jc w:val="both"/>
        <w:rPr>
          <w:rFonts w:ascii="仿宋" w:hAnsi="仿宋" w:eastAsia="仿宋" w:cs="Times New Roman"/>
          <w:b/>
          <w:kern w:val="2"/>
          <w:sz w:val="24"/>
          <w:szCs w:val="24"/>
          <w:lang w:val="en-US" w:eastAsia="zh-CN" w:bidi="ar-SA"/>
        </w:rPr>
      </w:pPr>
      <w:r>
        <w:rPr>
          <w:rFonts w:hint="eastAsia" w:ascii="仿宋" w:hAnsi="仿宋" w:eastAsia="仿宋" w:cs="Times New Roman"/>
          <w:b/>
          <w:kern w:val="2"/>
          <w:sz w:val="24"/>
          <w:szCs w:val="24"/>
          <w:lang w:val="en-US" w:eastAsia="zh-CN" w:bidi="ar-SA"/>
        </w:rPr>
        <w:t>提示您期权业务实行投资者适当性制度，您应当满足中国证监会、交易所及我公司关于投资者适当性管理的规定，若不符合，我公司有权限制您的期货账户全部或部分功能。投资者适当性制度对您的各项要求以及依据制度规定对您的综合评价结果，不构成对您的投资建议，也不构成对您投资获利的保证。您应根据自身判断做出投资决定，不得以不符合适当性标准为由拒绝承担期权交易结果和履约责任。</w:t>
      </w:r>
    </w:p>
    <w:p>
      <w:pPr>
        <w:widowControl w:val="0"/>
        <w:numPr>
          <w:ilvl w:val="0"/>
          <w:numId w:val="1"/>
        </w:numPr>
        <w:tabs>
          <w:tab w:val="left" w:pos="1134"/>
          <w:tab w:val="left" w:pos="1418"/>
        </w:tabs>
        <w:spacing w:line="360" w:lineRule="auto"/>
        <w:ind w:left="0" w:firstLine="567" w:firstLineChars="0"/>
        <w:jc w:val="both"/>
        <w:rPr>
          <w:rFonts w:ascii="仿宋" w:hAnsi="仿宋" w:eastAsia="仿宋" w:cs="Times New Roman"/>
          <w:b/>
          <w:kern w:val="2"/>
          <w:sz w:val="24"/>
          <w:szCs w:val="24"/>
          <w:lang w:val="en-US" w:eastAsia="zh-CN" w:bidi="ar-SA"/>
        </w:rPr>
      </w:pPr>
      <w:r>
        <w:rPr>
          <w:rFonts w:hint="eastAsia" w:ascii="仿宋" w:hAnsi="仿宋" w:eastAsia="仿宋" w:cs="Times New Roman"/>
          <w:b/>
          <w:kern w:val="2"/>
          <w:sz w:val="24"/>
          <w:szCs w:val="24"/>
          <w:lang w:val="en-US" w:eastAsia="zh-CN" w:bidi="ar-SA"/>
        </w:rPr>
        <w:t>提示您在进行期权买入交易时，可选择将期权合约平仓、持有至到期行权或者放弃行权；您选择持有期权至到期行权的，应当确保其保证金账户内有行权所需的足额资金，如果您保证金账户内没有行权所需的足额资金，我公司有权在期权最后交易日采取强制放弃行权措施，您需要承担由此造成行权失败的后果。由于最新价与结算价的差异将对期权价值产生影响，若您参与行权交易的，我公司有权关闭您的期货账户在最后交易日下午15:00后出金的权限。如果您持有权利仓在合约到期时选择不行权的，您将损失其支付的所有投资金额，包括权利金及交易费用。</w:t>
      </w:r>
    </w:p>
    <w:p>
      <w:pPr>
        <w:widowControl w:val="0"/>
        <w:numPr>
          <w:ilvl w:val="0"/>
          <w:numId w:val="1"/>
        </w:numPr>
        <w:tabs>
          <w:tab w:val="left" w:pos="1134"/>
          <w:tab w:val="left" w:pos="1418"/>
        </w:tabs>
        <w:spacing w:line="360" w:lineRule="auto"/>
        <w:ind w:left="0" w:firstLine="567" w:firstLineChars="0"/>
        <w:jc w:val="both"/>
        <w:rPr>
          <w:rFonts w:ascii="仿宋" w:hAnsi="仿宋" w:eastAsia="仿宋" w:cs="Times New Roman"/>
          <w:b/>
          <w:kern w:val="2"/>
          <w:sz w:val="24"/>
          <w:szCs w:val="24"/>
          <w:lang w:val="en-US" w:eastAsia="zh-CN" w:bidi="ar-SA"/>
        </w:rPr>
      </w:pPr>
      <w:r>
        <w:rPr>
          <w:rFonts w:hint="eastAsia" w:ascii="仿宋" w:hAnsi="仿宋" w:eastAsia="仿宋" w:cs="Times New Roman"/>
          <w:b/>
          <w:kern w:val="2"/>
          <w:sz w:val="24"/>
          <w:szCs w:val="24"/>
          <w:lang w:val="en-US" w:eastAsia="zh-CN" w:bidi="ar-SA"/>
        </w:rPr>
        <w:t>提示您实值期权买方到期日闭市后自动行权，对于资金不足的，您应在到期日闭市前撤销该期权的平仓指令（若有），若未自行撤销的，我公司将有权在到期日14:55后强制撤销。资金足够的平值期权、虚值期权买方有行权意愿的应在到期日商品期权</w:t>
      </w:r>
      <w:r>
        <w:rPr>
          <w:rFonts w:ascii="仿宋" w:hAnsi="仿宋" w:eastAsia="仿宋" w:cs="Times New Roman"/>
          <w:b/>
          <w:kern w:val="2"/>
          <w:sz w:val="24"/>
          <w:szCs w:val="24"/>
          <w:lang w:val="en-US" w:eastAsia="zh-CN" w:bidi="ar-SA"/>
        </w:rPr>
        <w:t>15</w:t>
      </w:r>
      <w:r>
        <w:rPr>
          <w:rFonts w:hint="eastAsia" w:ascii="仿宋" w:hAnsi="仿宋" w:eastAsia="仿宋" w:cs="Times New Roman"/>
          <w:b/>
          <w:kern w:val="2"/>
          <w:sz w:val="24"/>
          <w:szCs w:val="24"/>
          <w:lang w:val="en-US" w:eastAsia="zh-CN" w:bidi="ar-SA"/>
        </w:rPr>
        <w:t>:</w:t>
      </w:r>
      <w:r>
        <w:rPr>
          <w:rFonts w:ascii="仿宋" w:hAnsi="仿宋" w:eastAsia="仿宋" w:cs="Times New Roman"/>
          <w:b/>
          <w:kern w:val="2"/>
          <w:sz w:val="24"/>
          <w:szCs w:val="24"/>
          <w:lang w:val="en-US" w:eastAsia="zh-CN" w:bidi="ar-SA"/>
        </w:rPr>
        <w:t>15</w:t>
      </w:r>
      <w:r>
        <w:rPr>
          <w:rFonts w:hint="eastAsia" w:ascii="仿宋" w:hAnsi="仿宋" w:eastAsia="仿宋" w:cs="Times New Roman"/>
          <w:b/>
          <w:kern w:val="2"/>
          <w:sz w:val="24"/>
          <w:szCs w:val="24"/>
          <w:lang w:val="en-US" w:eastAsia="zh-CN" w:bidi="ar-SA"/>
        </w:rPr>
        <w:t>前，股指期权</w:t>
      </w:r>
      <w:r>
        <w:rPr>
          <w:rFonts w:ascii="仿宋" w:hAnsi="仿宋" w:eastAsia="仿宋" w:cs="Times New Roman"/>
          <w:b/>
          <w:kern w:val="2"/>
          <w:sz w:val="24"/>
          <w:szCs w:val="24"/>
          <w:lang w:val="en-US" w:eastAsia="zh-CN" w:bidi="ar-SA"/>
        </w:rPr>
        <w:t>15</w:t>
      </w:r>
      <w:r>
        <w:rPr>
          <w:rFonts w:hint="eastAsia" w:ascii="仿宋" w:hAnsi="仿宋" w:eastAsia="仿宋" w:cs="Times New Roman"/>
          <w:b/>
          <w:kern w:val="2"/>
          <w:sz w:val="24"/>
          <w:szCs w:val="24"/>
          <w:lang w:val="en-US" w:eastAsia="zh-CN" w:bidi="ar-SA"/>
        </w:rPr>
        <w:t>:</w:t>
      </w:r>
      <w:r>
        <w:rPr>
          <w:rFonts w:ascii="仿宋" w:hAnsi="仿宋" w:eastAsia="仿宋" w:cs="Times New Roman"/>
          <w:b/>
          <w:kern w:val="2"/>
          <w:sz w:val="24"/>
          <w:szCs w:val="24"/>
          <w:lang w:val="en-US" w:eastAsia="zh-CN" w:bidi="ar-SA"/>
        </w:rPr>
        <w:t>00前</w:t>
      </w:r>
      <w:r>
        <w:rPr>
          <w:rFonts w:hint="eastAsia" w:ascii="仿宋" w:hAnsi="仿宋" w:eastAsia="仿宋" w:cs="Times New Roman"/>
          <w:b/>
          <w:kern w:val="2"/>
          <w:sz w:val="24"/>
          <w:szCs w:val="24"/>
          <w:lang w:val="en-US" w:eastAsia="zh-CN" w:bidi="ar-SA"/>
        </w:rPr>
        <w:t>通过交易系统向我公司提交行权或平仓。</w:t>
      </w:r>
    </w:p>
    <w:p>
      <w:pPr>
        <w:widowControl w:val="0"/>
        <w:numPr>
          <w:ilvl w:val="0"/>
          <w:numId w:val="1"/>
        </w:numPr>
        <w:tabs>
          <w:tab w:val="left" w:pos="1134"/>
          <w:tab w:val="left" w:pos="1418"/>
        </w:tabs>
        <w:spacing w:line="360" w:lineRule="auto"/>
        <w:ind w:left="0" w:firstLine="567" w:firstLineChars="0"/>
        <w:jc w:val="both"/>
        <w:rPr>
          <w:rFonts w:ascii="仿宋" w:hAnsi="仿宋" w:eastAsia="仿宋" w:cs="Times New Roman"/>
          <w:b/>
          <w:kern w:val="2"/>
          <w:sz w:val="24"/>
          <w:szCs w:val="24"/>
          <w:lang w:val="en-US" w:eastAsia="zh-CN" w:bidi="ar-SA"/>
        </w:rPr>
      </w:pPr>
      <w:r>
        <w:rPr>
          <w:rFonts w:hint="eastAsia" w:ascii="仿宋" w:hAnsi="仿宋" w:eastAsia="仿宋" w:cs="Times New Roman"/>
          <w:b/>
          <w:kern w:val="2"/>
          <w:sz w:val="24"/>
          <w:szCs w:val="24"/>
          <w:lang w:val="en-US" w:eastAsia="zh-CN" w:bidi="ar-SA"/>
        </w:rPr>
        <w:t>提示您虚值期权原则上会自动放弃行权，如果您选择行权极大可能会蒙受更大的损失，请您一定谨慎。提示您关注卖出虚值期权向实值期权变化时，期权的保证金会大幅变化，请及时安排资金，以免发生损失，并且结算后随时有可能发生被动履约的情况（卖出期权减少，增加相应标的的期货合约），请及时关注持仓变化。</w:t>
      </w:r>
    </w:p>
    <w:p>
      <w:pPr>
        <w:widowControl w:val="0"/>
        <w:numPr>
          <w:ilvl w:val="0"/>
          <w:numId w:val="1"/>
        </w:numPr>
        <w:tabs>
          <w:tab w:val="left" w:pos="1134"/>
          <w:tab w:val="left" w:pos="1418"/>
        </w:tabs>
        <w:spacing w:line="360" w:lineRule="auto"/>
        <w:ind w:left="0" w:firstLine="567" w:firstLineChars="0"/>
        <w:jc w:val="both"/>
        <w:rPr>
          <w:rFonts w:ascii="仿宋" w:hAnsi="仿宋" w:eastAsia="仿宋" w:cs="Times New Roman"/>
          <w:b/>
          <w:kern w:val="2"/>
          <w:sz w:val="24"/>
          <w:szCs w:val="24"/>
          <w:lang w:val="en-US" w:eastAsia="zh-CN" w:bidi="ar-SA"/>
        </w:rPr>
      </w:pPr>
      <w:r>
        <w:rPr>
          <w:rFonts w:hint="eastAsia" w:ascii="仿宋" w:hAnsi="仿宋" w:eastAsia="仿宋" w:cs="Times New Roman"/>
          <w:b/>
          <w:kern w:val="2"/>
          <w:sz w:val="24"/>
          <w:szCs w:val="24"/>
          <w:lang w:val="en-US" w:eastAsia="zh-CN" w:bidi="ar-SA"/>
        </w:rPr>
        <w:t>提示您卖出期权交易的风险一般高于买入期权交易的风险。卖方虽然能获得权利金，但也因承担行权履约义务而面临由于合约标的价格波动，可能承受远高于该笔权利金的损失。</w:t>
      </w:r>
    </w:p>
    <w:p>
      <w:pPr>
        <w:widowControl w:val="0"/>
        <w:numPr>
          <w:ilvl w:val="0"/>
          <w:numId w:val="1"/>
        </w:numPr>
        <w:tabs>
          <w:tab w:val="left" w:pos="1134"/>
          <w:tab w:val="left" w:pos="1418"/>
        </w:tabs>
        <w:spacing w:line="360" w:lineRule="auto"/>
        <w:ind w:left="0" w:firstLine="567" w:firstLineChars="0"/>
        <w:jc w:val="both"/>
        <w:rPr>
          <w:rFonts w:ascii="仿宋" w:hAnsi="仿宋" w:eastAsia="仿宋" w:cs="Times New Roman"/>
          <w:b/>
          <w:kern w:val="2"/>
          <w:sz w:val="24"/>
          <w:szCs w:val="24"/>
          <w:lang w:val="en-US" w:eastAsia="zh-CN" w:bidi="ar-SA"/>
        </w:rPr>
      </w:pPr>
      <w:r>
        <w:rPr>
          <w:rFonts w:hint="eastAsia" w:ascii="仿宋" w:hAnsi="仿宋" w:eastAsia="仿宋" w:cs="Times New Roman"/>
          <w:b/>
          <w:kern w:val="2"/>
          <w:sz w:val="24"/>
          <w:szCs w:val="24"/>
          <w:lang w:val="en-US" w:eastAsia="zh-CN" w:bidi="ar-SA"/>
        </w:rPr>
        <w:t>提示您关注标的合约若暂停交易的，期权合约相应暂停交易。当日为期权合约到期日的，到期日顺延至下一个交易日。</w:t>
      </w:r>
    </w:p>
    <w:p>
      <w:pPr>
        <w:widowControl w:val="0"/>
        <w:numPr>
          <w:ilvl w:val="0"/>
          <w:numId w:val="1"/>
        </w:numPr>
        <w:tabs>
          <w:tab w:val="left" w:pos="1134"/>
          <w:tab w:val="left" w:pos="1418"/>
        </w:tabs>
        <w:spacing w:line="360" w:lineRule="auto"/>
        <w:ind w:left="0" w:firstLine="567" w:firstLineChars="0"/>
        <w:jc w:val="both"/>
        <w:rPr>
          <w:rFonts w:ascii="仿宋" w:hAnsi="仿宋" w:eastAsia="仿宋" w:cs="Times New Roman"/>
          <w:b/>
          <w:kern w:val="2"/>
          <w:sz w:val="24"/>
          <w:szCs w:val="24"/>
          <w:lang w:val="en-US" w:eastAsia="zh-CN" w:bidi="ar-SA"/>
        </w:rPr>
      </w:pPr>
      <w:r>
        <w:rPr>
          <w:rFonts w:hint="eastAsia" w:ascii="仿宋" w:hAnsi="仿宋" w:eastAsia="仿宋" w:cs="Times New Roman"/>
          <w:b/>
          <w:kern w:val="2"/>
          <w:sz w:val="24"/>
          <w:szCs w:val="24"/>
          <w:lang w:val="en-US" w:eastAsia="zh-CN" w:bidi="ar-SA"/>
        </w:rPr>
        <w:t>提示您关注期权的涨跌幅限制，期权的涨跌幅限制的计算方式与标的合约涨跌幅计算方式不同，投资者应当关注期权合约的每日涨跌停价格。</w:t>
      </w:r>
    </w:p>
    <w:p>
      <w:pPr>
        <w:widowControl w:val="0"/>
        <w:numPr>
          <w:ilvl w:val="0"/>
          <w:numId w:val="1"/>
        </w:numPr>
        <w:tabs>
          <w:tab w:val="left" w:pos="1134"/>
          <w:tab w:val="left" w:pos="1418"/>
        </w:tabs>
        <w:spacing w:line="360" w:lineRule="auto"/>
        <w:ind w:left="0" w:firstLine="567" w:firstLineChars="0"/>
        <w:jc w:val="both"/>
        <w:rPr>
          <w:rFonts w:ascii="仿宋" w:hAnsi="仿宋" w:eastAsia="仿宋" w:cs="Times New Roman"/>
          <w:b/>
          <w:kern w:val="2"/>
          <w:sz w:val="24"/>
          <w:szCs w:val="24"/>
          <w:lang w:val="en-US" w:eastAsia="zh-CN" w:bidi="ar-SA"/>
        </w:rPr>
      </w:pPr>
      <w:r>
        <w:rPr>
          <w:rFonts w:hint="eastAsia" w:ascii="仿宋" w:hAnsi="仿宋" w:eastAsia="仿宋" w:cs="Times New Roman"/>
          <w:b/>
          <w:kern w:val="2"/>
          <w:sz w:val="24"/>
          <w:szCs w:val="24"/>
          <w:lang w:val="en-US" w:eastAsia="zh-CN" w:bidi="ar-SA"/>
        </w:rPr>
        <w:t>提示您关注期权的最新价与结算价的差异。期权价格明显不合理时，交易所可以调整期权合约结算价。最后交易日和申请行权日会以结算价计算期权价值，最终的行权或履约结果可能与盘中按最新价计算的期权价值以及与您的预估值有差异；特别是最后交易日闭市后，我公司会对持有到期的期权合约按预估的结算价进行试算，根据试算结果向交易所发出批量放弃的申请，预估的结算价与真实的结算价有可能存在细微的差异，您应知晓并愿意承担相应结果。</w:t>
      </w:r>
    </w:p>
    <w:p>
      <w:pPr>
        <w:widowControl w:val="0"/>
        <w:numPr>
          <w:ilvl w:val="0"/>
          <w:numId w:val="1"/>
        </w:numPr>
        <w:tabs>
          <w:tab w:val="left" w:pos="1134"/>
          <w:tab w:val="left" w:pos="1418"/>
        </w:tabs>
        <w:spacing w:line="360" w:lineRule="auto"/>
        <w:ind w:left="0" w:firstLine="567" w:firstLineChars="0"/>
        <w:jc w:val="both"/>
        <w:rPr>
          <w:rFonts w:ascii="仿宋" w:hAnsi="仿宋" w:eastAsia="仿宋" w:cs="Times New Roman"/>
          <w:b/>
          <w:kern w:val="2"/>
          <w:sz w:val="24"/>
          <w:szCs w:val="24"/>
          <w:lang w:val="en-US" w:eastAsia="zh-CN" w:bidi="ar-SA"/>
        </w:rPr>
      </w:pPr>
      <w:r>
        <w:rPr>
          <w:rFonts w:hint="eastAsia" w:ascii="仿宋" w:hAnsi="仿宋" w:eastAsia="仿宋" w:cs="Times New Roman"/>
          <w:b/>
          <w:kern w:val="2"/>
          <w:sz w:val="24"/>
          <w:szCs w:val="24"/>
          <w:lang w:val="en-US" w:eastAsia="zh-CN" w:bidi="ar-SA"/>
        </w:rPr>
        <w:t>提示您在进行期权交易时，应当严格遵守交易所相关业务规则、市场公告中有关限仓、限开仓的规定，并在交易所要求时，在规定时间内及时报告。您的持仓量超过规定限额的，将导致其面临被限制卖出开仓、买入开仓以及强行平仓的风险。</w:t>
      </w:r>
    </w:p>
    <w:p>
      <w:pPr>
        <w:widowControl w:val="0"/>
        <w:numPr>
          <w:ilvl w:val="0"/>
          <w:numId w:val="1"/>
        </w:numPr>
        <w:tabs>
          <w:tab w:val="left" w:pos="1134"/>
          <w:tab w:val="left" w:pos="1418"/>
        </w:tabs>
        <w:spacing w:line="360" w:lineRule="auto"/>
        <w:ind w:left="0" w:firstLine="567" w:firstLineChars="0"/>
        <w:jc w:val="both"/>
        <w:rPr>
          <w:rFonts w:ascii="仿宋" w:hAnsi="仿宋" w:eastAsia="仿宋" w:cs="Times New Roman"/>
          <w:b/>
          <w:kern w:val="2"/>
          <w:sz w:val="24"/>
          <w:szCs w:val="24"/>
          <w:lang w:val="en-US" w:eastAsia="zh-CN" w:bidi="ar-SA"/>
        </w:rPr>
      </w:pPr>
      <w:r>
        <w:rPr>
          <w:rFonts w:hint="eastAsia" w:ascii="仿宋" w:hAnsi="仿宋" w:eastAsia="仿宋" w:cs="Times New Roman"/>
          <w:b/>
          <w:kern w:val="2"/>
          <w:sz w:val="24"/>
          <w:szCs w:val="24"/>
          <w:lang w:val="en-US" w:eastAsia="zh-CN" w:bidi="ar-SA"/>
        </w:rPr>
        <w:t>提示您商品期权在成功行权、履约后，将得到相应数量的标的期货合约，该合约同样面临市场行情变动的风险。提示您关注期权行权建立的期货合约持仓与原期货合约持仓合并计算，其数量不得超过期货合约持仓限额；期权行权后您期货账户的结算准备金余额不得低于零，否则，在不满足上述条件的情况下，期权行权申请按申请时间顺序实行部分行权或者不予行权</w:t>
      </w:r>
      <w:r>
        <w:rPr>
          <w:rFonts w:ascii="仿宋" w:hAnsi="仿宋" w:eastAsia="仿宋" w:cs="Times New Roman"/>
          <w:b/>
          <w:kern w:val="2"/>
          <w:sz w:val="24"/>
          <w:szCs w:val="24"/>
          <w:lang w:val="en-US" w:eastAsia="zh-CN" w:bidi="ar-SA"/>
        </w:rPr>
        <w:t>。</w:t>
      </w:r>
    </w:p>
    <w:p>
      <w:pPr>
        <w:widowControl w:val="0"/>
        <w:numPr>
          <w:ilvl w:val="0"/>
          <w:numId w:val="1"/>
        </w:numPr>
        <w:tabs>
          <w:tab w:val="left" w:pos="1134"/>
          <w:tab w:val="left" w:pos="1418"/>
        </w:tabs>
        <w:spacing w:line="360" w:lineRule="auto"/>
        <w:ind w:left="0" w:firstLine="567" w:firstLineChars="0"/>
        <w:jc w:val="both"/>
        <w:rPr>
          <w:rFonts w:ascii="仿宋" w:hAnsi="仿宋" w:eastAsia="仿宋" w:cs="Times New Roman"/>
          <w:b/>
          <w:kern w:val="2"/>
          <w:sz w:val="24"/>
          <w:szCs w:val="24"/>
          <w:lang w:val="en-US" w:eastAsia="zh-CN" w:bidi="ar-SA"/>
        </w:rPr>
      </w:pPr>
      <w:r>
        <w:rPr>
          <w:rFonts w:hint="eastAsia" w:ascii="仿宋" w:hAnsi="仿宋" w:eastAsia="仿宋" w:cs="Times New Roman"/>
          <w:b/>
          <w:kern w:val="2"/>
          <w:sz w:val="24"/>
          <w:szCs w:val="24"/>
          <w:lang w:val="en-US" w:eastAsia="zh-CN" w:bidi="ar-SA"/>
        </w:rPr>
        <w:t>提示您关注期权合约可能难以或无法平仓的风险及其可能造成的损失，当市场交易量不足或者连续出现单边涨跌停价格时，期权合约持有者可能无法在市场上找到平仓机会。在遭遇极端行情时标的合约可能会实行强制减仓，但相应的期权持仓不会实行强制减仓，除非交易所宣布进入异常情况。</w:t>
      </w:r>
    </w:p>
    <w:p>
      <w:pPr>
        <w:widowControl w:val="0"/>
        <w:numPr>
          <w:ilvl w:val="0"/>
          <w:numId w:val="1"/>
        </w:numPr>
        <w:tabs>
          <w:tab w:val="left" w:pos="1134"/>
          <w:tab w:val="left" w:pos="1418"/>
        </w:tabs>
        <w:spacing w:line="360" w:lineRule="auto"/>
        <w:ind w:left="0" w:firstLine="567" w:firstLineChars="0"/>
        <w:jc w:val="both"/>
        <w:rPr>
          <w:rFonts w:ascii="仿宋" w:hAnsi="仿宋" w:eastAsia="仿宋" w:cs="Times New Roman"/>
          <w:b/>
          <w:kern w:val="2"/>
          <w:sz w:val="24"/>
          <w:szCs w:val="24"/>
          <w:lang w:val="en-US" w:eastAsia="zh-CN" w:bidi="ar-SA"/>
        </w:rPr>
      </w:pPr>
      <w:r>
        <w:rPr>
          <w:rFonts w:hint="eastAsia" w:ascii="仿宋" w:hAnsi="仿宋" w:eastAsia="仿宋" w:cs="Times New Roman"/>
          <w:b/>
          <w:kern w:val="2"/>
          <w:sz w:val="24"/>
          <w:szCs w:val="24"/>
          <w:lang w:val="en-US" w:eastAsia="zh-CN" w:bidi="ar-SA"/>
        </w:rPr>
        <w:t>提示您关注不同交易所期权交易规则的差异，谨慎使用市价指令和组合指令，具体规定以交易所流程为准。</w:t>
      </w:r>
    </w:p>
    <w:p>
      <w:pPr>
        <w:widowControl w:val="0"/>
        <w:numPr>
          <w:ilvl w:val="0"/>
          <w:numId w:val="1"/>
        </w:numPr>
        <w:tabs>
          <w:tab w:val="left" w:pos="1134"/>
          <w:tab w:val="left" w:pos="1418"/>
        </w:tabs>
        <w:spacing w:line="360" w:lineRule="auto"/>
        <w:ind w:left="0" w:firstLine="567" w:firstLineChars="0"/>
        <w:jc w:val="both"/>
        <w:rPr>
          <w:rFonts w:ascii="仿宋" w:hAnsi="仿宋" w:eastAsia="仿宋" w:cs="Times New Roman"/>
          <w:b/>
          <w:kern w:val="2"/>
          <w:sz w:val="24"/>
          <w:szCs w:val="24"/>
          <w:lang w:val="en-US" w:eastAsia="zh-CN" w:bidi="ar-SA"/>
        </w:rPr>
      </w:pPr>
      <w:r>
        <w:rPr>
          <w:rFonts w:hint="eastAsia" w:ascii="仿宋" w:hAnsi="仿宋" w:eastAsia="仿宋" w:cs="Times New Roman"/>
          <w:b/>
          <w:kern w:val="2"/>
          <w:sz w:val="24"/>
          <w:szCs w:val="24"/>
          <w:lang w:val="en-US" w:eastAsia="zh-CN" w:bidi="ar-SA"/>
        </w:rPr>
        <w:t>提示您交纳的保证金将用于承担相应的交收及违约责任，若我公司代您承担相应责任的，将取得相应追偿权，保留向您进一步追偿的权利，其方式包括但不限于司法程序。</w:t>
      </w:r>
    </w:p>
    <w:p>
      <w:pPr>
        <w:widowControl w:val="0"/>
        <w:numPr>
          <w:ilvl w:val="0"/>
          <w:numId w:val="1"/>
        </w:numPr>
        <w:tabs>
          <w:tab w:val="left" w:pos="1134"/>
          <w:tab w:val="left" w:pos="1418"/>
        </w:tabs>
        <w:spacing w:line="360" w:lineRule="auto"/>
        <w:ind w:left="0" w:firstLine="567" w:firstLineChars="0"/>
        <w:jc w:val="both"/>
        <w:rPr>
          <w:rFonts w:ascii="仿宋" w:hAnsi="仿宋" w:eastAsia="仿宋" w:cs="Times New Roman"/>
          <w:b/>
          <w:kern w:val="2"/>
          <w:sz w:val="24"/>
          <w:szCs w:val="24"/>
          <w:lang w:val="en-US" w:eastAsia="zh-CN" w:bidi="ar-SA"/>
        </w:rPr>
      </w:pPr>
      <w:r>
        <w:rPr>
          <w:rFonts w:hint="eastAsia" w:ascii="仿宋" w:hAnsi="仿宋" w:eastAsia="仿宋" w:cs="Times New Roman"/>
          <w:b/>
          <w:kern w:val="2"/>
          <w:sz w:val="24"/>
          <w:szCs w:val="24"/>
          <w:lang w:val="en-US" w:eastAsia="zh-CN" w:bidi="ar-SA"/>
        </w:rPr>
        <w:t>提示您关注当发生不可抗力、意外事件、技术故障、重大差错、市场操纵等异常情况影响期权业务正常进行，或者您违反期权业务规则并且对市场产生或者将产生重大影响的，交易所可以按照相关规则决定采取包括但不限于调整保证金、调整涨跌停价格、调整客户持仓限额、限制交易、取消交易、强行平仓等风险控制措施，由此造成的损失，由您自行承担。</w:t>
      </w:r>
    </w:p>
    <w:p>
      <w:pPr>
        <w:spacing w:line="360" w:lineRule="auto"/>
        <w:ind w:firstLine="472" w:firstLineChars="196"/>
        <w:rPr>
          <w:rFonts w:ascii="仿宋" w:hAnsi="仿宋" w:eastAsia="仿宋" w:cs="Times New Roman"/>
          <w:b/>
          <w:sz w:val="24"/>
          <w:szCs w:val="24"/>
        </w:rPr>
      </w:pPr>
      <w:r>
        <w:rPr>
          <w:rFonts w:hint="eastAsia" w:ascii="仿宋" w:hAnsi="仿宋" w:eastAsia="仿宋" w:cs="Times New Roman"/>
          <w:b/>
          <w:sz w:val="24"/>
          <w:szCs w:val="24"/>
        </w:rPr>
        <w:t>本风险揭示书的风险揭示事项仅为列举性质，未能详尽列明期权交易的所有风险和可能影响期权合约价格的所有因素。您在参与期权交易前，应认真阅读相关业务规则及《期货经纪合同》条款，对期权业务所特有的规则必须了解和掌握，并确信自己已做好足够的风险评估与财务安排，避免因参与期权交易而遭受难以承受的损失。</w:t>
      </w:r>
    </w:p>
    <w:p>
      <w:pPr>
        <w:spacing w:line="360" w:lineRule="auto"/>
        <w:ind w:firstLine="472" w:firstLineChars="196"/>
        <w:rPr>
          <w:rFonts w:ascii="仿宋" w:hAnsi="仿宋" w:eastAsia="仿宋" w:cs="Times New Roman"/>
          <w:b/>
          <w:sz w:val="24"/>
          <w:szCs w:val="24"/>
          <w:u w:val="single"/>
        </w:rPr>
      </w:pPr>
      <w:r>
        <w:rPr>
          <w:rFonts w:hint="eastAsia" w:ascii="仿宋" w:hAnsi="仿宋" w:eastAsia="仿宋" w:cs="Times New Roman"/>
          <w:b/>
          <w:sz w:val="24"/>
          <w:szCs w:val="24"/>
          <w:u w:val="single"/>
        </w:rPr>
        <w:t>以上《期权业务风险揭示书》的各项内容，本单位已仔细阅读并完全理解。</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ascii="仿宋" w:hAnsi="仿宋" w:eastAsia="仿宋" w:cs="Times New Roman"/>
          <w:b/>
          <w:sz w:val="24"/>
          <w:szCs w:val="24"/>
          <w:u w:val="single"/>
        </w:rPr>
      </w:pPr>
      <w:r>
        <w:rPr>
          <w:rFonts w:hint="eastAsia" w:ascii="仿宋" w:hAnsi="仿宋" w:eastAsia="仿宋" w:cs="Times New Roman"/>
          <w:b/>
          <w:sz w:val="24"/>
          <w:szCs w:val="24"/>
          <w:u w:val="single"/>
        </w:rPr>
        <w:t xml:space="preserve"> </w:t>
      </w:r>
      <w:r>
        <w:rPr>
          <w:rFonts w:ascii="仿宋" w:hAnsi="仿宋" w:eastAsia="仿宋" w:cs="Times New Roman"/>
          <w:b/>
          <w:sz w:val="24"/>
          <w:szCs w:val="24"/>
          <w:u w:val="single"/>
        </w:rPr>
        <w:t xml:space="preserve">                                                                 </w:t>
      </w:r>
      <w:bookmarkStart w:id="2" w:name="_GoBack"/>
      <w:bookmarkEnd w:id="2"/>
    </w:p>
    <w:p>
      <w:pPr>
        <w:spacing w:line="360" w:lineRule="auto"/>
        <w:rPr>
          <w:rFonts w:hint="eastAsia" w:ascii="仿宋" w:hAnsi="仿宋" w:eastAsia="仿宋" w:cs="Times New Roman"/>
          <w:b/>
          <w:sz w:val="24"/>
          <w:szCs w:val="24"/>
        </w:rPr>
      </w:pPr>
      <w:r>
        <w:rPr>
          <w:rFonts w:hint="eastAsia" w:ascii="仿宋" w:hAnsi="仿宋" w:eastAsia="仿宋" w:cs="Times New Roman"/>
          <w:b/>
          <w:sz w:val="24"/>
          <w:szCs w:val="24"/>
        </w:rPr>
        <w:t>（请抄写以上划线部分）</w:t>
      </w:r>
    </w:p>
    <w:p>
      <w:pPr>
        <w:spacing w:line="360" w:lineRule="auto"/>
        <w:ind w:right="964" w:firstLine="3510" w:firstLineChars="1457"/>
        <w:jc w:val="center"/>
        <w:rPr>
          <w:rFonts w:ascii="仿宋" w:hAnsi="仿宋" w:eastAsia="仿宋" w:cs="Times New Roman"/>
          <w:b/>
          <w:sz w:val="24"/>
        </w:rPr>
      </w:pPr>
    </w:p>
    <w:p>
      <w:pPr>
        <w:wordWrap w:val="0"/>
        <w:spacing w:line="360" w:lineRule="auto"/>
        <w:ind w:right="964"/>
        <w:jc w:val="right"/>
        <w:rPr>
          <w:rFonts w:hint="default" w:ascii="仿宋" w:hAnsi="仿宋" w:eastAsia="仿宋" w:cs="Times New Roman"/>
          <w:b/>
          <w:sz w:val="24"/>
          <w:lang w:val="en-US" w:eastAsia="zh-CN"/>
        </w:rPr>
      </w:pPr>
      <w:r>
        <w:rPr>
          <w:rFonts w:hint="eastAsia" w:ascii="仿宋" w:hAnsi="仿宋" w:eastAsia="仿宋" w:cs="Times New Roman"/>
          <w:b/>
          <w:sz w:val="24"/>
        </w:rPr>
        <w:t>客户签字（机构加盖公章）：</w:t>
      </w:r>
      <w:r>
        <w:rPr>
          <w:rFonts w:hint="eastAsia" w:ascii="仿宋" w:hAnsi="仿宋" w:eastAsia="仿宋" w:cs="Times New Roman"/>
          <w:b/>
          <w:sz w:val="24"/>
          <w:lang w:val="en-US" w:eastAsia="zh-CN"/>
        </w:rPr>
        <w:t xml:space="preserve">      </w:t>
      </w:r>
    </w:p>
    <w:p>
      <w:pPr>
        <w:spacing w:line="360" w:lineRule="auto"/>
        <w:ind w:right="964"/>
        <w:jc w:val="center"/>
        <w:rPr>
          <w:rFonts w:hint="default" w:ascii="仿宋" w:hAnsi="仿宋" w:eastAsia="仿宋" w:cs="Times New Roman"/>
          <w:b/>
          <w:sz w:val="24"/>
          <w:lang w:val="en-US" w:eastAsia="zh-CN"/>
        </w:rPr>
      </w:pPr>
      <w:r>
        <w:rPr>
          <w:rFonts w:hint="eastAsia" w:ascii="仿宋" w:hAnsi="仿宋" w:eastAsia="仿宋" w:cs="Times New Roman"/>
          <w:b/>
          <w:sz w:val="24"/>
          <w:lang w:val="en-US" w:eastAsia="zh-CN"/>
        </w:rPr>
        <w:t xml:space="preserve">                                     </w:t>
      </w:r>
      <w:r>
        <w:rPr>
          <w:rFonts w:hint="eastAsia" w:ascii="仿宋" w:hAnsi="仿宋" w:eastAsia="仿宋" w:cs="Times New Roman"/>
          <w:b/>
          <w:sz w:val="24"/>
        </w:rPr>
        <w:t xml:space="preserve">签署日期：  </w:t>
      </w:r>
      <w:r>
        <w:rPr>
          <w:rFonts w:hint="eastAsia" w:ascii="仿宋" w:hAnsi="仿宋" w:eastAsia="仿宋" w:cs="Times New Roman"/>
          <w:b/>
          <w:sz w:val="24"/>
          <w:lang w:val="en-US" w:eastAsia="zh-CN"/>
        </w:rPr>
        <w:t xml:space="preserve">  </w:t>
      </w:r>
      <w:r>
        <w:rPr>
          <w:rFonts w:hint="eastAsia" w:ascii="仿宋" w:hAnsi="仿宋" w:eastAsia="仿宋" w:cs="Times New Roman"/>
          <w:b/>
          <w:sz w:val="24"/>
        </w:rPr>
        <w:t xml:space="preserve">年 </w:t>
      </w:r>
      <w:r>
        <w:rPr>
          <w:rFonts w:hint="eastAsia" w:ascii="仿宋" w:hAnsi="仿宋" w:eastAsia="仿宋" w:cs="Times New Roman"/>
          <w:b/>
          <w:sz w:val="24"/>
          <w:lang w:val="en-US" w:eastAsia="zh-CN"/>
        </w:rPr>
        <w:t xml:space="preserve"> </w:t>
      </w:r>
      <w:r>
        <w:rPr>
          <w:rFonts w:hint="eastAsia" w:ascii="仿宋" w:hAnsi="仿宋" w:eastAsia="仿宋" w:cs="Times New Roman"/>
          <w:b/>
          <w:sz w:val="24"/>
        </w:rPr>
        <w:t xml:space="preserve"> 月 </w:t>
      </w:r>
      <w:r>
        <w:rPr>
          <w:rFonts w:hint="eastAsia" w:ascii="仿宋" w:hAnsi="仿宋" w:eastAsia="仿宋" w:cs="Times New Roman"/>
          <w:b/>
          <w:sz w:val="24"/>
          <w:lang w:val="en-US" w:eastAsia="zh-CN"/>
        </w:rPr>
        <w:t xml:space="preserve"> </w:t>
      </w:r>
      <w:r>
        <w:rPr>
          <w:rFonts w:hint="eastAsia" w:ascii="仿宋" w:hAnsi="仿宋" w:eastAsia="仿宋" w:cs="Times New Roman"/>
          <w:b/>
          <w:sz w:val="24"/>
        </w:rPr>
        <w:t xml:space="preserve"> 日</w:t>
      </w:r>
      <w:r>
        <w:rPr>
          <w:rFonts w:hint="eastAsia" w:ascii="仿宋" w:hAnsi="仿宋" w:eastAsia="仿宋" w:cs="Times New Roman"/>
          <w:b/>
          <w:sz w:val="24"/>
          <w:lang w:val="en-US" w:eastAsia="zh-CN"/>
        </w:rPr>
        <w:t xml:space="preserve">                  </w:t>
      </w:r>
    </w:p>
    <w:p>
      <w:pPr>
        <w:spacing w:line="360" w:lineRule="auto"/>
        <w:ind w:right="-512" w:rightChars="-244" w:firstLine="3205" w:firstLineChars="1451"/>
        <w:rPr>
          <w:rFonts w:ascii="宋体" w:hAnsi="宋体" w:eastAsia="宋体" w:cs="宋体"/>
          <w:b/>
          <w:bCs/>
          <w:sz w:val="22"/>
          <w:szCs w:val="22"/>
        </w:rPr>
      </w:pPr>
    </w:p>
    <w:p>
      <w:pPr>
        <w:spacing w:line="360" w:lineRule="auto"/>
        <w:rPr>
          <w:rFonts w:hint="eastAsia" w:ascii="仿宋" w:hAnsi="仿宋" w:eastAsia="仿宋" w:cs="Times New Roman"/>
          <w:b/>
          <w:sz w:val="24"/>
          <w:szCs w:val="24"/>
        </w:rPr>
      </w:pPr>
    </w:p>
    <w:p>
      <w:pPr>
        <w:numPr>
          <w:ilvl w:val="0"/>
          <w:numId w:val="0"/>
        </w:numPr>
        <w:ind w:leftChars="0"/>
        <w:jc w:val="both"/>
        <w:rPr>
          <w:rFonts w:hint="default" w:ascii="微软雅黑" w:hAnsi="微软雅黑" w:eastAsia="微软雅黑"/>
          <w:b/>
          <w:bCs/>
          <w:sz w:val="32"/>
          <w:szCs w:val="44"/>
          <w:lang w:val="en-US" w:eastAsia="zh-CN"/>
        </w:rPr>
      </w:pPr>
    </w:p>
    <w:sectPr>
      <w:footerReference r:id="rId3" w:type="default"/>
      <w:pgSz w:w="11906" w:h="16838"/>
      <w:pgMar w:top="1440" w:right="1080" w:bottom="1440" w:left="108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jc w:val="center"/>
      <w:rPr>
        <w:rFonts w:ascii="Calibri" w:hAnsi="Calibri" w:eastAsia="宋体" w:cs="Times New Roman"/>
        <w:kern w:val="2"/>
        <w:sz w:val="18"/>
        <w:szCs w:val="18"/>
        <w:lang w:val="en-US" w:eastAsia="zh-CN" w:bidi="ar-SA"/>
      </w:rP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rPr>
                              <w:rFonts w:ascii="Calibri" w:hAnsi="Calibri" w:eastAsia="宋体" w:cs="Times New Roman"/>
                              <w:kern w:val="2"/>
                              <w:sz w:val="21"/>
                              <w:szCs w:val="22"/>
                              <w:lang w:val="en-US" w:eastAsia="zh-CN" w:bidi="ar-SA"/>
                            </w:rPr>
                            <w:id w:val="-2064014501"/>
                            <w:docPartObj>
                              <w:docPartGallery w:val="autotext"/>
                            </w:docPartObj>
                          </w:sdtPr>
                          <w:sdtEndPr>
                            <w:rPr>
                              <w:rFonts w:hint="default" w:ascii="Calibri" w:hAnsi="Calibri" w:eastAsia="宋体" w:cs="Times New Roman"/>
                              <w:b w:val="0"/>
                              <w:bCs w:val="0"/>
                              <w:kern w:val="2"/>
                              <w:sz w:val="20"/>
                              <w:szCs w:val="20"/>
                              <w:lang w:val="en-US" w:eastAsia="zh-CN" w:bidi="ar-SA"/>
                            </w:rPr>
                          </w:sdtEndPr>
                          <w:sdtContent>
                            <w:sdt>
                              <w:sdtPr>
                                <w:rPr>
                                  <w:rFonts w:ascii="Calibri" w:hAnsi="Calibri" w:eastAsia="宋体" w:cs="Times New Roman"/>
                                  <w:kern w:val="2"/>
                                  <w:sz w:val="21"/>
                                  <w:szCs w:val="22"/>
                                  <w:lang w:val="en-US" w:eastAsia="zh-CN" w:bidi="ar-SA"/>
                                </w:rPr>
                                <w:id w:val="1728636285"/>
                                <w:docPartObj>
                                  <w:docPartGallery w:val="autotext"/>
                                </w:docPartObj>
                              </w:sdtPr>
                              <w:sdtEndPr>
                                <w:rPr>
                                  <w:rFonts w:hint="default" w:ascii="Calibri" w:hAnsi="Calibri" w:eastAsia="宋体" w:cs="Times New Roman"/>
                                  <w:b w:val="0"/>
                                  <w:bCs w:val="0"/>
                                  <w:kern w:val="2"/>
                                  <w:sz w:val="20"/>
                                  <w:szCs w:val="20"/>
                                  <w:lang w:val="en-US" w:eastAsia="zh-CN" w:bidi="ar-SA"/>
                                </w:rPr>
                              </w:sdtEndPr>
                              <w:sdtContent>
                                <w:p>
                                  <w:pPr>
                                    <w:widowControl w:val="0"/>
                                    <w:tabs>
                                      <w:tab w:val="center" w:pos="4153"/>
                                      <w:tab w:val="right" w:pos="8306"/>
                                    </w:tabs>
                                    <w:snapToGrid w:val="0"/>
                                    <w:jc w:val="center"/>
                                    <w:rPr>
                                      <w:rFonts w:ascii="Calibri" w:hAnsi="Calibri" w:eastAsia="宋体" w:cs="Times New Roman"/>
                                      <w:b/>
                                      <w:bCs/>
                                      <w:kern w:val="2"/>
                                      <w:sz w:val="24"/>
                                      <w:szCs w:val="24"/>
                                      <w:lang w:val="en-US" w:eastAsia="zh-CN" w:bidi="ar-SA"/>
                                    </w:rPr>
                                  </w:pPr>
                                  <w:r>
                                    <w:rPr>
                                      <w:rFonts w:ascii="Calibri" w:hAnsi="Calibri" w:eastAsia="宋体" w:cs="Times New Roman"/>
                                      <w:b/>
                                      <w:bCs/>
                                      <w:kern w:val="2"/>
                                      <w:sz w:val="24"/>
                                      <w:szCs w:val="24"/>
                                      <w:lang w:val="en-US" w:eastAsia="zh-CN" w:bidi="ar-SA"/>
                                    </w:rPr>
                                    <w:fldChar w:fldCharType="begin"/>
                                  </w:r>
                                  <w:r>
                                    <w:rPr>
                                      <w:rFonts w:ascii="Calibri" w:hAnsi="Calibri" w:eastAsia="宋体" w:cs="Times New Roman"/>
                                      <w:b/>
                                      <w:bCs/>
                                      <w:kern w:val="2"/>
                                      <w:sz w:val="18"/>
                                      <w:szCs w:val="18"/>
                                      <w:lang w:val="en-US" w:eastAsia="zh-CN" w:bidi="ar-SA"/>
                                    </w:rPr>
                                    <w:instrText xml:space="preserve">PAGE</w:instrText>
                                  </w:r>
                                  <w:r>
                                    <w:rPr>
                                      <w:rFonts w:ascii="Calibri" w:hAnsi="Calibri" w:eastAsia="宋体" w:cs="Times New Roman"/>
                                      <w:b/>
                                      <w:bCs/>
                                      <w:kern w:val="2"/>
                                      <w:sz w:val="24"/>
                                      <w:szCs w:val="24"/>
                                      <w:lang w:val="en-US" w:eastAsia="zh-CN" w:bidi="ar-SA"/>
                                    </w:rPr>
                                    <w:fldChar w:fldCharType="separate"/>
                                  </w:r>
                                  <w:r>
                                    <w:rPr>
                                      <w:rFonts w:ascii="Calibri" w:hAnsi="Calibri" w:eastAsia="宋体" w:cs="Times New Roman"/>
                                      <w:b/>
                                      <w:bCs/>
                                      <w:kern w:val="2"/>
                                      <w:sz w:val="18"/>
                                      <w:szCs w:val="18"/>
                                      <w:lang w:val="en-US" w:eastAsia="zh-CN" w:bidi="ar-SA"/>
                                    </w:rPr>
                                    <w:t>1</w:t>
                                  </w:r>
                                  <w:r>
                                    <w:rPr>
                                      <w:rFonts w:ascii="Calibri" w:hAnsi="Calibri" w:eastAsia="宋体" w:cs="Times New Roman"/>
                                      <w:b/>
                                      <w:bCs/>
                                      <w:kern w:val="2"/>
                                      <w:sz w:val="24"/>
                                      <w:szCs w:val="24"/>
                                      <w:lang w:val="en-US" w:eastAsia="zh-CN" w:bidi="ar-SA"/>
                                    </w:rPr>
                                    <w:fldChar w:fldCharType="end"/>
                                  </w:r>
                                  <w:r>
                                    <w:rPr>
                                      <w:rFonts w:ascii="Calibri" w:hAnsi="Calibri" w:eastAsia="宋体" w:cs="Times New Roman"/>
                                      <w:kern w:val="2"/>
                                      <w:sz w:val="18"/>
                                      <w:szCs w:val="18"/>
                                      <w:lang w:val="zh-CN" w:eastAsia="zh-CN" w:bidi="ar-SA"/>
                                    </w:rPr>
                                    <w:t xml:space="preserve"> /</w:t>
                                  </w:r>
                                  <w:r>
                                    <w:rPr>
                                      <w:rFonts w:ascii="Calibri" w:hAnsi="Calibri" w:eastAsia="宋体" w:cs="Times New Roman"/>
                                      <w:kern w:val="2"/>
                                      <w:sz w:val="15"/>
                                      <w:szCs w:val="15"/>
                                      <w:lang w:val="zh-CN" w:eastAsia="zh-CN" w:bidi="ar-SA"/>
                                    </w:rPr>
                                    <w:t xml:space="preserve"> </w:t>
                                  </w:r>
                                  <w:r>
                                    <w:rPr>
                                      <w:rFonts w:hint="eastAsia" w:ascii="Calibri" w:hAnsi="Calibri" w:eastAsia="宋体" w:cs="Times New Roman"/>
                                      <w:b w:val="0"/>
                                      <w:bCs w:val="0"/>
                                      <w:kern w:val="2"/>
                                      <w:sz w:val="20"/>
                                      <w:szCs w:val="20"/>
                                      <w:lang w:val="en-US" w:eastAsia="zh-CN" w:bidi="ar-SA"/>
                                    </w:rPr>
                                    <w:t>3</w:t>
                                  </w:r>
                                </w:p>
                              </w:sdtContent>
                            </w:sdt>
                          </w:sdtContent>
                        </w:sdt>
                        <w:p>
                          <w:pPr>
                            <w:rPr>
                              <w:rFonts w:ascii="Calibri" w:hAnsi="Calibri" w:eastAsia="宋体" w:cs="Times New Roman"/>
                              <w:kern w:val="2"/>
                              <w:sz w:val="18"/>
                              <w:szCs w:val="18"/>
                              <w:lang w:val="en-US" w:eastAsia="zh-CN" w:bidi="ar-SA"/>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sdt>
                    <w:sdtPr>
                      <w:rPr>
                        <w:rFonts w:ascii="Calibri" w:hAnsi="Calibri" w:eastAsia="宋体" w:cs="Times New Roman"/>
                        <w:kern w:val="2"/>
                        <w:sz w:val="21"/>
                        <w:szCs w:val="22"/>
                        <w:lang w:val="en-US" w:eastAsia="zh-CN" w:bidi="ar-SA"/>
                      </w:rPr>
                      <w:id w:val="-2064014501"/>
                      <w:docPartObj>
                        <w:docPartGallery w:val="autotext"/>
                      </w:docPartObj>
                    </w:sdtPr>
                    <w:sdtEndPr>
                      <w:rPr>
                        <w:rFonts w:hint="default" w:ascii="Calibri" w:hAnsi="Calibri" w:eastAsia="宋体" w:cs="Times New Roman"/>
                        <w:b w:val="0"/>
                        <w:bCs w:val="0"/>
                        <w:kern w:val="2"/>
                        <w:sz w:val="20"/>
                        <w:szCs w:val="20"/>
                        <w:lang w:val="en-US" w:eastAsia="zh-CN" w:bidi="ar-SA"/>
                      </w:rPr>
                    </w:sdtEndPr>
                    <w:sdtContent>
                      <w:sdt>
                        <w:sdtPr>
                          <w:rPr>
                            <w:rFonts w:ascii="Calibri" w:hAnsi="Calibri" w:eastAsia="宋体" w:cs="Times New Roman"/>
                            <w:kern w:val="2"/>
                            <w:sz w:val="21"/>
                            <w:szCs w:val="22"/>
                            <w:lang w:val="en-US" w:eastAsia="zh-CN" w:bidi="ar-SA"/>
                          </w:rPr>
                          <w:id w:val="1728636285"/>
                          <w:docPartObj>
                            <w:docPartGallery w:val="autotext"/>
                          </w:docPartObj>
                        </w:sdtPr>
                        <w:sdtEndPr>
                          <w:rPr>
                            <w:rFonts w:hint="default" w:ascii="Calibri" w:hAnsi="Calibri" w:eastAsia="宋体" w:cs="Times New Roman"/>
                            <w:b w:val="0"/>
                            <w:bCs w:val="0"/>
                            <w:kern w:val="2"/>
                            <w:sz w:val="20"/>
                            <w:szCs w:val="20"/>
                            <w:lang w:val="en-US" w:eastAsia="zh-CN" w:bidi="ar-SA"/>
                          </w:rPr>
                        </w:sdtEndPr>
                        <w:sdtContent>
                          <w:p>
                            <w:pPr>
                              <w:widowControl w:val="0"/>
                              <w:tabs>
                                <w:tab w:val="center" w:pos="4153"/>
                                <w:tab w:val="right" w:pos="8306"/>
                              </w:tabs>
                              <w:snapToGrid w:val="0"/>
                              <w:jc w:val="center"/>
                              <w:rPr>
                                <w:rFonts w:ascii="Calibri" w:hAnsi="Calibri" w:eastAsia="宋体" w:cs="Times New Roman"/>
                                <w:b/>
                                <w:bCs/>
                                <w:kern w:val="2"/>
                                <w:sz w:val="24"/>
                                <w:szCs w:val="24"/>
                                <w:lang w:val="en-US" w:eastAsia="zh-CN" w:bidi="ar-SA"/>
                              </w:rPr>
                            </w:pPr>
                            <w:r>
                              <w:rPr>
                                <w:rFonts w:ascii="Calibri" w:hAnsi="Calibri" w:eastAsia="宋体" w:cs="Times New Roman"/>
                                <w:b/>
                                <w:bCs/>
                                <w:kern w:val="2"/>
                                <w:sz w:val="24"/>
                                <w:szCs w:val="24"/>
                                <w:lang w:val="en-US" w:eastAsia="zh-CN" w:bidi="ar-SA"/>
                              </w:rPr>
                              <w:fldChar w:fldCharType="begin"/>
                            </w:r>
                            <w:r>
                              <w:rPr>
                                <w:rFonts w:ascii="Calibri" w:hAnsi="Calibri" w:eastAsia="宋体" w:cs="Times New Roman"/>
                                <w:b/>
                                <w:bCs/>
                                <w:kern w:val="2"/>
                                <w:sz w:val="18"/>
                                <w:szCs w:val="18"/>
                                <w:lang w:val="en-US" w:eastAsia="zh-CN" w:bidi="ar-SA"/>
                              </w:rPr>
                              <w:instrText xml:space="preserve">PAGE</w:instrText>
                            </w:r>
                            <w:r>
                              <w:rPr>
                                <w:rFonts w:ascii="Calibri" w:hAnsi="Calibri" w:eastAsia="宋体" w:cs="Times New Roman"/>
                                <w:b/>
                                <w:bCs/>
                                <w:kern w:val="2"/>
                                <w:sz w:val="24"/>
                                <w:szCs w:val="24"/>
                                <w:lang w:val="en-US" w:eastAsia="zh-CN" w:bidi="ar-SA"/>
                              </w:rPr>
                              <w:fldChar w:fldCharType="separate"/>
                            </w:r>
                            <w:r>
                              <w:rPr>
                                <w:rFonts w:ascii="Calibri" w:hAnsi="Calibri" w:eastAsia="宋体" w:cs="Times New Roman"/>
                                <w:b/>
                                <w:bCs/>
                                <w:kern w:val="2"/>
                                <w:sz w:val="18"/>
                                <w:szCs w:val="18"/>
                                <w:lang w:val="en-US" w:eastAsia="zh-CN" w:bidi="ar-SA"/>
                              </w:rPr>
                              <w:t>1</w:t>
                            </w:r>
                            <w:r>
                              <w:rPr>
                                <w:rFonts w:ascii="Calibri" w:hAnsi="Calibri" w:eastAsia="宋体" w:cs="Times New Roman"/>
                                <w:b/>
                                <w:bCs/>
                                <w:kern w:val="2"/>
                                <w:sz w:val="24"/>
                                <w:szCs w:val="24"/>
                                <w:lang w:val="en-US" w:eastAsia="zh-CN" w:bidi="ar-SA"/>
                              </w:rPr>
                              <w:fldChar w:fldCharType="end"/>
                            </w:r>
                            <w:r>
                              <w:rPr>
                                <w:rFonts w:ascii="Calibri" w:hAnsi="Calibri" w:eastAsia="宋体" w:cs="Times New Roman"/>
                                <w:kern w:val="2"/>
                                <w:sz w:val="18"/>
                                <w:szCs w:val="18"/>
                                <w:lang w:val="zh-CN" w:eastAsia="zh-CN" w:bidi="ar-SA"/>
                              </w:rPr>
                              <w:t xml:space="preserve"> /</w:t>
                            </w:r>
                            <w:r>
                              <w:rPr>
                                <w:rFonts w:ascii="Calibri" w:hAnsi="Calibri" w:eastAsia="宋体" w:cs="Times New Roman"/>
                                <w:kern w:val="2"/>
                                <w:sz w:val="15"/>
                                <w:szCs w:val="15"/>
                                <w:lang w:val="zh-CN" w:eastAsia="zh-CN" w:bidi="ar-SA"/>
                              </w:rPr>
                              <w:t xml:space="preserve"> </w:t>
                            </w:r>
                            <w:r>
                              <w:rPr>
                                <w:rFonts w:hint="eastAsia" w:ascii="Calibri" w:hAnsi="Calibri" w:eastAsia="宋体" w:cs="Times New Roman"/>
                                <w:b w:val="0"/>
                                <w:bCs w:val="0"/>
                                <w:kern w:val="2"/>
                                <w:sz w:val="20"/>
                                <w:szCs w:val="20"/>
                                <w:lang w:val="en-US" w:eastAsia="zh-CN" w:bidi="ar-SA"/>
                              </w:rPr>
                              <w:t>3</w:t>
                            </w:r>
                          </w:p>
                        </w:sdtContent>
                      </w:sdt>
                    </w:sdtContent>
                  </w:sdt>
                  <w:p>
                    <w:pPr>
                      <w:rPr>
                        <w:rFonts w:ascii="Calibri" w:hAnsi="Calibri" w:eastAsia="宋体" w:cs="Times New Roman"/>
                        <w:kern w:val="2"/>
                        <w:sz w:val="18"/>
                        <w:szCs w:val="18"/>
                        <w:lang w:val="en-US" w:eastAsia="zh-CN" w:bidi="ar-SA"/>
                      </w:rPr>
                    </w:pPr>
                  </w:p>
                </w:txbxContent>
              </v:textbox>
            </v:shape>
          </w:pict>
        </mc:Fallback>
      </mc:AlternateContent>
    </w:r>
  </w:p>
  <w:p>
    <w:pPr>
      <w:widowControl w:val="0"/>
      <w:tabs>
        <w:tab w:val="center" w:pos="4153"/>
        <w:tab w:val="right" w:pos="8306"/>
      </w:tabs>
      <w:snapToGrid w:val="0"/>
      <w:jc w:val="left"/>
      <w:rPr>
        <w:rFonts w:ascii="Calibri" w:hAnsi="Calibri" w:eastAsia="宋体" w:cs="Times New Roman"/>
        <w:kern w:val="2"/>
        <w:sz w:val="18"/>
        <w:szCs w:val="18"/>
        <w:lang w:val="en-US" w:eastAsia="zh-CN" w:bidi="ar-SA"/>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6677B6"/>
    <w:multiLevelType w:val="multilevel"/>
    <w:tmpl w:val="556677B6"/>
    <w:lvl w:ilvl="0" w:tentative="0">
      <w:start w:val="1"/>
      <w:numFmt w:val="chineseCounting"/>
      <w:lvlText w:val="%1、"/>
      <w:lvlJc w:val="left"/>
      <w:pPr>
        <w:ind w:left="1272" w:hanging="420"/>
      </w:pPr>
      <w:rPr>
        <w:rFonts w:hint="eastAsia"/>
        <w:color w:val="auto"/>
        <w:lang w:val="en-US"/>
      </w:rPr>
    </w:lvl>
    <w:lvl w:ilvl="1" w:tentative="0">
      <w:start w:val="1"/>
      <w:numFmt w:val="lowerLetter"/>
      <w:lvlText w:val="%2)"/>
      <w:lvlJc w:val="left"/>
      <w:pPr>
        <w:ind w:left="1833" w:hanging="420"/>
      </w:pPr>
    </w:lvl>
    <w:lvl w:ilvl="2" w:tentative="0">
      <w:start w:val="1"/>
      <w:numFmt w:val="lowerRoman"/>
      <w:lvlText w:val="%3."/>
      <w:lvlJc w:val="right"/>
      <w:pPr>
        <w:ind w:left="2253" w:hanging="420"/>
      </w:pPr>
    </w:lvl>
    <w:lvl w:ilvl="3" w:tentative="0">
      <w:start w:val="1"/>
      <w:numFmt w:val="decimal"/>
      <w:lvlText w:val="%4."/>
      <w:lvlJc w:val="left"/>
      <w:pPr>
        <w:ind w:left="2673" w:hanging="420"/>
      </w:pPr>
    </w:lvl>
    <w:lvl w:ilvl="4" w:tentative="0">
      <w:start w:val="1"/>
      <w:numFmt w:val="lowerLetter"/>
      <w:lvlText w:val="%5)"/>
      <w:lvlJc w:val="left"/>
      <w:pPr>
        <w:ind w:left="3093" w:hanging="420"/>
      </w:pPr>
    </w:lvl>
    <w:lvl w:ilvl="5" w:tentative="0">
      <w:start w:val="1"/>
      <w:numFmt w:val="lowerRoman"/>
      <w:lvlText w:val="%6."/>
      <w:lvlJc w:val="right"/>
      <w:pPr>
        <w:ind w:left="3513" w:hanging="420"/>
      </w:pPr>
    </w:lvl>
    <w:lvl w:ilvl="6" w:tentative="0">
      <w:start w:val="1"/>
      <w:numFmt w:val="decimal"/>
      <w:lvlText w:val="%7."/>
      <w:lvlJc w:val="left"/>
      <w:pPr>
        <w:ind w:left="3933" w:hanging="420"/>
      </w:pPr>
    </w:lvl>
    <w:lvl w:ilvl="7" w:tentative="0">
      <w:start w:val="1"/>
      <w:numFmt w:val="lowerLetter"/>
      <w:lvlText w:val="%8)"/>
      <w:lvlJc w:val="left"/>
      <w:pPr>
        <w:ind w:left="4353" w:hanging="420"/>
      </w:pPr>
    </w:lvl>
    <w:lvl w:ilvl="8" w:tentative="0">
      <w:start w:val="1"/>
      <w:numFmt w:val="lowerRoman"/>
      <w:lvlText w:val="%9."/>
      <w:lvlJc w:val="right"/>
      <w:pPr>
        <w:ind w:left="477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612788"/>
    <w:rsid w:val="07FE73EA"/>
    <w:rsid w:val="0E48036A"/>
    <w:rsid w:val="14FF2827"/>
    <w:rsid w:val="19425181"/>
    <w:rsid w:val="22E62437"/>
    <w:rsid w:val="25476D83"/>
    <w:rsid w:val="2DDF3906"/>
    <w:rsid w:val="396F4697"/>
    <w:rsid w:val="3FF34454"/>
    <w:rsid w:val="40442581"/>
    <w:rsid w:val="41DC2627"/>
    <w:rsid w:val="48065BC2"/>
    <w:rsid w:val="508E66F4"/>
    <w:rsid w:val="60184513"/>
    <w:rsid w:val="6172748D"/>
    <w:rsid w:val="67D60548"/>
    <w:rsid w:val="6FCD3E49"/>
    <w:rsid w:val="781D4FDF"/>
    <w:rsid w:val="7B053477"/>
    <w:rsid w:val="7D151E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List Paragraph"/>
    <w:basedOn w:val="1"/>
    <w:qFormat/>
    <w:uiPriority w:val="0"/>
    <w:pPr>
      <w:ind w:firstLine="420" w:firstLineChars="200"/>
    </w:pPr>
    <w:rPr>
      <w:szCs w:val="22"/>
    </w:rPr>
  </w:style>
  <w:style w:type="paragraph" w:customStyle="1" w:styleId="9">
    <w:name w:val="WPSOffice手动目录 1"/>
    <w:uiPriority w:val="0"/>
    <w:pPr>
      <w:ind w:leftChars="0"/>
    </w:pPr>
    <w:rPr>
      <w:rFonts w:asciiTheme="minorHAnsi" w:hAnsiTheme="minorHAnsi" w:eastAsiaTheme="minorEastAsia" w:cstheme="minorBidi"/>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yang</dc:creator>
  <cp:lastModifiedBy>Z先生</cp:lastModifiedBy>
  <dcterms:modified xsi:type="dcterms:W3CDTF">2020-05-08T01:56:19Z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