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20" w:lineRule="exact"/>
        <w:jc w:val="left"/>
        <w:rPr>
          <w:b w:val="0"/>
          <w:bCs w:val="0"/>
          <w:kern w:val="0"/>
          <w:sz w:val="28"/>
          <w:szCs w:val="28"/>
        </w:rPr>
      </w:pPr>
      <w:bookmarkStart w:id="0" w:name="_GoBack"/>
      <w:bookmarkEnd w:id="0"/>
      <w:r>
        <w:rPr>
          <w:rFonts w:hint="eastAsia"/>
          <w:b w:val="0"/>
          <w:bCs w:val="0"/>
          <w:kern w:val="0"/>
          <w:sz w:val="28"/>
          <w:szCs w:val="28"/>
        </w:rPr>
        <w:t>附件1：</w:t>
      </w:r>
    </w:p>
    <w:p>
      <w:pPr>
        <w:pStyle w:val="2"/>
        <w:spacing w:line="320" w:lineRule="exact"/>
        <w:jc w:val="center"/>
        <w:rPr>
          <w:kern w:val="0"/>
        </w:rPr>
      </w:pPr>
      <w:r>
        <w:rPr>
          <w:rFonts w:hint="eastAsia"/>
          <w:kern w:val="0"/>
        </w:rPr>
        <w:t>程序化交易风险揭示书</w:t>
      </w:r>
    </w:p>
    <w:p>
      <w:pPr>
        <w:pStyle w:val="5"/>
        <w:snapToGrid w:val="0"/>
        <w:spacing w:before="0" w:beforeAutospacing="0" w:after="0" w:afterAutospacing="0" w:line="320" w:lineRule="exact"/>
        <w:rPr>
          <w:spacing w:val="30"/>
          <w:sz w:val="21"/>
          <w:szCs w:val="21"/>
        </w:rPr>
      </w:pPr>
      <w:r>
        <w:rPr>
          <w:spacing w:val="30"/>
          <w:sz w:val="21"/>
          <w:szCs w:val="21"/>
        </w:rPr>
        <w:t>尊敬的客户：</w:t>
      </w:r>
    </w:p>
    <w:p>
      <w:pPr>
        <w:pStyle w:val="5"/>
        <w:snapToGrid w:val="0"/>
        <w:spacing w:before="0" w:beforeAutospacing="0" w:after="0" w:afterAutospacing="0" w:line="320" w:lineRule="exact"/>
        <w:ind w:firstLine="540"/>
        <w:rPr>
          <w:spacing w:val="30"/>
          <w:sz w:val="21"/>
          <w:szCs w:val="21"/>
        </w:rPr>
      </w:pPr>
      <w:r>
        <w:rPr>
          <w:spacing w:val="30"/>
          <w:sz w:val="21"/>
          <w:szCs w:val="21"/>
        </w:rPr>
        <w:t>为便于您全面正确地了解与程序化交易有关的风险，保护您的合法权益，请您认真阅读</w:t>
      </w:r>
      <w:r>
        <w:rPr>
          <w:rFonts w:hint="eastAsia"/>
          <w:spacing w:val="30"/>
          <w:sz w:val="21"/>
          <w:szCs w:val="21"/>
        </w:rPr>
        <w:t>并</w:t>
      </w:r>
      <w:r>
        <w:rPr>
          <w:spacing w:val="30"/>
          <w:sz w:val="21"/>
          <w:szCs w:val="21"/>
        </w:rPr>
        <w:t>充分了解以下事项</w:t>
      </w:r>
      <w:r>
        <w:rPr>
          <w:rFonts w:hint="eastAsia"/>
          <w:spacing w:val="30"/>
          <w:sz w:val="21"/>
          <w:szCs w:val="21"/>
        </w:rPr>
        <w:t>：</w:t>
      </w:r>
    </w:p>
    <w:p>
      <w:pPr>
        <w:pStyle w:val="5"/>
        <w:numPr>
          <w:ilvl w:val="0"/>
          <w:numId w:val="1"/>
        </w:numPr>
        <w:tabs>
          <w:tab w:val="left" w:pos="567"/>
        </w:tabs>
        <w:snapToGrid w:val="0"/>
        <w:spacing w:before="0" w:beforeAutospacing="0" w:after="0" w:afterAutospacing="0" w:line="320" w:lineRule="exact"/>
        <w:ind w:left="0" w:firstLine="0"/>
        <w:rPr>
          <w:spacing w:val="30"/>
          <w:sz w:val="21"/>
          <w:szCs w:val="21"/>
        </w:rPr>
      </w:pPr>
      <w:r>
        <w:rPr>
          <w:spacing w:val="30"/>
          <w:sz w:val="21"/>
          <w:szCs w:val="21"/>
        </w:rPr>
        <w:t>程序化交易并不能消除市场风险</w:t>
      </w:r>
      <w:r>
        <w:rPr>
          <w:rFonts w:hint="eastAsia"/>
          <w:spacing w:val="30"/>
          <w:sz w:val="21"/>
          <w:szCs w:val="21"/>
        </w:rPr>
        <w:t>，同时</w:t>
      </w:r>
      <w:r>
        <w:rPr>
          <w:spacing w:val="30"/>
          <w:sz w:val="21"/>
          <w:szCs w:val="21"/>
        </w:rPr>
        <w:t>具有普通</w:t>
      </w:r>
      <w:r>
        <w:rPr>
          <w:rFonts w:hint="eastAsia"/>
          <w:spacing w:val="30"/>
          <w:sz w:val="21"/>
          <w:szCs w:val="21"/>
        </w:rPr>
        <w:t>期货</w:t>
      </w:r>
      <w:r>
        <w:rPr>
          <w:spacing w:val="30"/>
          <w:sz w:val="21"/>
          <w:szCs w:val="21"/>
        </w:rPr>
        <w:t xml:space="preserve">交易所具有的技术风险、系统风险、不可抗力事件产生的风险等各种风险，不保证盈利，历史测试收益率仅供参考。 </w:t>
      </w:r>
    </w:p>
    <w:p>
      <w:pPr>
        <w:pStyle w:val="5"/>
        <w:numPr>
          <w:ilvl w:val="0"/>
          <w:numId w:val="1"/>
        </w:numPr>
        <w:tabs>
          <w:tab w:val="left" w:pos="567"/>
        </w:tabs>
        <w:snapToGrid w:val="0"/>
        <w:spacing w:before="0" w:beforeAutospacing="0" w:after="0" w:afterAutospacing="0" w:line="320" w:lineRule="exact"/>
        <w:ind w:left="0" w:firstLine="0"/>
        <w:rPr>
          <w:spacing w:val="30"/>
          <w:sz w:val="18"/>
          <w:szCs w:val="18"/>
        </w:rPr>
      </w:pPr>
      <w:r>
        <w:rPr>
          <w:spacing w:val="30"/>
          <w:sz w:val="21"/>
          <w:szCs w:val="21"/>
        </w:rPr>
        <w:t>程序化交易虽然有机会获取较大的收益，但也有可能在短时间内蒙受损失。</w:t>
      </w:r>
      <w:r>
        <w:rPr>
          <w:rFonts w:hint="eastAsia"/>
          <w:spacing w:val="30"/>
          <w:sz w:val="21"/>
          <w:szCs w:val="21"/>
        </w:rPr>
        <w:t>客户进行</w:t>
      </w:r>
      <w:r>
        <w:rPr>
          <w:spacing w:val="30"/>
          <w:sz w:val="21"/>
          <w:szCs w:val="21"/>
        </w:rPr>
        <w:t>程序化交易前应审慎评估自身的经济状况和财务能力，充分考虑是否适宜参与此类交易。</w:t>
      </w:r>
    </w:p>
    <w:p>
      <w:pPr>
        <w:pStyle w:val="5"/>
        <w:numPr>
          <w:ilvl w:val="0"/>
          <w:numId w:val="1"/>
        </w:numPr>
        <w:tabs>
          <w:tab w:val="left" w:pos="567"/>
        </w:tabs>
        <w:snapToGrid w:val="0"/>
        <w:spacing w:before="0" w:beforeAutospacing="0" w:after="0" w:afterAutospacing="0" w:line="320" w:lineRule="exact"/>
        <w:ind w:left="0" w:firstLine="0"/>
        <w:rPr>
          <w:spacing w:val="30"/>
          <w:sz w:val="18"/>
          <w:szCs w:val="18"/>
        </w:rPr>
      </w:pPr>
      <w:r>
        <w:rPr>
          <w:spacing w:val="30"/>
          <w:sz w:val="21"/>
          <w:szCs w:val="21"/>
        </w:rPr>
        <w:t>程序化交易</w:t>
      </w:r>
      <w:r>
        <w:rPr>
          <w:rFonts w:hint="eastAsia"/>
          <w:spacing w:val="30"/>
          <w:sz w:val="21"/>
          <w:szCs w:val="21"/>
        </w:rPr>
        <w:t>相关系统</w:t>
      </w:r>
      <w:r>
        <w:rPr>
          <w:spacing w:val="30"/>
          <w:sz w:val="21"/>
          <w:szCs w:val="21"/>
        </w:rPr>
        <w:t>具备的全自动委托模式</w:t>
      </w:r>
      <w:r>
        <w:rPr>
          <w:rFonts w:hint="eastAsia"/>
          <w:spacing w:val="30"/>
          <w:sz w:val="21"/>
          <w:szCs w:val="21"/>
        </w:rPr>
        <w:t>和</w:t>
      </w:r>
      <w:r>
        <w:rPr>
          <w:spacing w:val="30"/>
          <w:sz w:val="21"/>
          <w:szCs w:val="21"/>
        </w:rPr>
        <w:t>半自动委托模式，具有委托方便的特点，但可能存在下达交易指令错误、获取成交结果失败或客户在交易过程中因自身原因进行误操作的风险，由此造成的损失由</w:t>
      </w:r>
      <w:r>
        <w:rPr>
          <w:rFonts w:hint="eastAsia"/>
          <w:spacing w:val="30"/>
          <w:sz w:val="21"/>
          <w:szCs w:val="21"/>
        </w:rPr>
        <w:t>客户</w:t>
      </w:r>
      <w:r>
        <w:rPr>
          <w:spacing w:val="30"/>
          <w:sz w:val="21"/>
          <w:szCs w:val="21"/>
        </w:rPr>
        <w:t>自行承担。</w:t>
      </w:r>
    </w:p>
    <w:p>
      <w:pPr>
        <w:pStyle w:val="5"/>
        <w:numPr>
          <w:ilvl w:val="0"/>
          <w:numId w:val="1"/>
        </w:numPr>
        <w:tabs>
          <w:tab w:val="left" w:pos="567"/>
        </w:tabs>
        <w:snapToGrid w:val="0"/>
        <w:spacing w:before="0" w:beforeAutospacing="0" w:after="0" w:afterAutospacing="0" w:line="320" w:lineRule="exact"/>
        <w:ind w:left="0" w:firstLine="0"/>
        <w:rPr>
          <w:spacing w:val="30"/>
          <w:sz w:val="18"/>
          <w:szCs w:val="18"/>
        </w:rPr>
      </w:pPr>
      <w:r>
        <w:rPr>
          <w:spacing w:val="30"/>
          <w:sz w:val="21"/>
          <w:szCs w:val="21"/>
        </w:rPr>
        <w:t>由于停电、网络或通讯出现故障或繁忙、服务器负载过重，或因受到网络黑客、网络病毒的攻击或入侵等原因，程序化交易</w:t>
      </w:r>
      <w:r>
        <w:rPr>
          <w:rFonts w:hint="eastAsia"/>
          <w:spacing w:val="30"/>
          <w:sz w:val="21"/>
          <w:szCs w:val="21"/>
        </w:rPr>
        <w:t>系统</w:t>
      </w:r>
      <w:r>
        <w:rPr>
          <w:spacing w:val="30"/>
          <w:sz w:val="21"/>
          <w:szCs w:val="21"/>
        </w:rPr>
        <w:t>可能会出现故障，</w:t>
      </w:r>
      <w:r>
        <w:rPr>
          <w:rFonts w:hint="eastAsia"/>
          <w:spacing w:val="30"/>
          <w:sz w:val="21"/>
          <w:szCs w:val="21"/>
        </w:rPr>
        <w:t>客户</w:t>
      </w:r>
      <w:r>
        <w:rPr>
          <w:spacing w:val="30"/>
          <w:sz w:val="21"/>
          <w:szCs w:val="21"/>
        </w:rPr>
        <w:t>可能不能及时或正常进行程序化交易</w:t>
      </w:r>
      <w:r>
        <w:rPr>
          <w:rFonts w:hint="eastAsia"/>
          <w:spacing w:val="30"/>
          <w:sz w:val="21"/>
          <w:szCs w:val="21"/>
        </w:rPr>
        <w:t>，由此带来的交易风险需要客户自身承担。</w:t>
      </w:r>
    </w:p>
    <w:p>
      <w:pPr>
        <w:pStyle w:val="5"/>
        <w:numPr>
          <w:ilvl w:val="0"/>
          <w:numId w:val="1"/>
        </w:numPr>
        <w:tabs>
          <w:tab w:val="left" w:pos="567"/>
        </w:tabs>
        <w:snapToGrid w:val="0"/>
        <w:spacing w:before="0" w:beforeAutospacing="0" w:after="0" w:afterAutospacing="0" w:line="320" w:lineRule="exact"/>
        <w:ind w:left="0" w:firstLine="0"/>
        <w:rPr>
          <w:spacing w:val="30"/>
          <w:sz w:val="18"/>
          <w:szCs w:val="18"/>
        </w:rPr>
      </w:pPr>
      <w:r>
        <w:rPr>
          <w:spacing w:val="30"/>
          <w:sz w:val="21"/>
          <w:szCs w:val="21"/>
        </w:rPr>
        <w:t>由于交易所交易规则所限，</w:t>
      </w:r>
      <w:r>
        <w:rPr>
          <w:rFonts w:hint="eastAsia"/>
          <w:spacing w:val="30"/>
          <w:sz w:val="21"/>
          <w:szCs w:val="21"/>
        </w:rPr>
        <w:t>客户进行</w:t>
      </w:r>
      <w:r>
        <w:rPr>
          <w:spacing w:val="30"/>
          <w:sz w:val="21"/>
          <w:szCs w:val="21"/>
        </w:rPr>
        <w:t>程序化交易包括但不限于各种自助或预设触发条件的下单功能所发出的交易委托有可能不成交或只是部分成交</w:t>
      </w:r>
      <w:r>
        <w:rPr>
          <w:rFonts w:hint="eastAsia"/>
          <w:spacing w:val="30"/>
          <w:sz w:val="21"/>
          <w:szCs w:val="21"/>
        </w:rPr>
        <w:t>，由此带来的交易风险需要客户自身承担</w:t>
      </w:r>
      <w:r>
        <w:rPr>
          <w:spacing w:val="30"/>
          <w:sz w:val="21"/>
          <w:szCs w:val="21"/>
        </w:rPr>
        <w:t xml:space="preserve">。 </w:t>
      </w:r>
    </w:p>
    <w:p>
      <w:pPr>
        <w:pStyle w:val="5"/>
        <w:numPr>
          <w:ilvl w:val="0"/>
          <w:numId w:val="1"/>
        </w:numPr>
        <w:tabs>
          <w:tab w:val="left" w:pos="567"/>
        </w:tabs>
        <w:snapToGrid w:val="0"/>
        <w:spacing w:before="0" w:beforeAutospacing="0" w:after="0" w:afterAutospacing="0" w:line="320" w:lineRule="exact"/>
        <w:ind w:left="0" w:firstLine="0"/>
        <w:rPr>
          <w:spacing w:val="30"/>
          <w:sz w:val="18"/>
          <w:szCs w:val="18"/>
        </w:rPr>
      </w:pPr>
      <w:r>
        <w:rPr>
          <w:spacing w:val="30"/>
          <w:sz w:val="21"/>
          <w:szCs w:val="21"/>
        </w:rPr>
        <w:t>由于电子化交易的或有风险、程序化交易的或有缺陷以及其他各种可能的不可预知的原因，</w:t>
      </w:r>
      <w:r>
        <w:rPr>
          <w:rFonts w:hint="eastAsia"/>
          <w:spacing w:val="30"/>
          <w:sz w:val="21"/>
          <w:szCs w:val="21"/>
        </w:rPr>
        <w:t>使用</w:t>
      </w:r>
      <w:r>
        <w:rPr>
          <w:spacing w:val="30"/>
          <w:sz w:val="21"/>
          <w:szCs w:val="21"/>
        </w:rPr>
        <w:t>程序化交易的实际结果有可能与预先设定不一致。实际成交结果以交易所结算结果为准，所产生的后果由</w:t>
      </w:r>
      <w:r>
        <w:rPr>
          <w:rFonts w:hint="eastAsia"/>
          <w:spacing w:val="30"/>
          <w:sz w:val="21"/>
          <w:szCs w:val="21"/>
        </w:rPr>
        <w:t>客户</w:t>
      </w:r>
      <w:r>
        <w:rPr>
          <w:spacing w:val="30"/>
          <w:sz w:val="21"/>
          <w:szCs w:val="21"/>
        </w:rPr>
        <w:t xml:space="preserve">自行承担。 </w:t>
      </w:r>
    </w:p>
    <w:p>
      <w:pPr>
        <w:pStyle w:val="5"/>
        <w:numPr>
          <w:ilvl w:val="0"/>
          <w:numId w:val="1"/>
        </w:numPr>
        <w:tabs>
          <w:tab w:val="left" w:pos="567"/>
        </w:tabs>
        <w:snapToGrid w:val="0"/>
        <w:spacing w:before="0" w:beforeAutospacing="0" w:after="0" w:afterAutospacing="0" w:line="320" w:lineRule="exact"/>
        <w:ind w:left="0" w:firstLine="0"/>
        <w:rPr>
          <w:spacing w:val="30"/>
          <w:sz w:val="18"/>
          <w:szCs w:val="18"/>
        </w:rPr>
      </w:pPr>
      <w:r>
        <w:rPr>
          <w:spacing w:val="30"/>
          <w:sz w:val="21"/>
          <w:szCs w:val="21"/>
        </w:rPr>
        <w:t>程序化交易</w:t>
      </w:r>
      <w:r>
        <w:rPr>
          <w:rFonts w:hint="eastAsia"/>
          <w:spacing w:val="30"/>
          <w:sz w:val="21"/>
          <w:szCs w:val="21"/>
        </w:rPr>
        <w:t>系统</w:t>
      </w:r>
      <w:r>
        <w:rPr>
          <w:spacing w:val="30"/>
          <w:sz w:val="21"/>
          <w:szCs w:val="21"/>
        </w:rPr>
        <w:t>所发出的买卖信号，是依据特定数学公式计算所</w:t>
      </w:r>
      <w:r>
        <w:rPr>
          <w:rFonts w:hint="eastAsia"/>
          <w:spacing w:val="30"/>
          <w:sz w:val="21"/>
          <w:szCs w:val="21"/>
        </w:rPr>
        <w:t>得</w:t>
      </w:r>
      <w:r>
        <w:rPr>
          <w:spacing w:val="30"/>
          <w:sz w:val="21"/>
          <w:szCs w:val="21"/>
        </w:rPr>
        <w:t>的结果，仅供交易参考。通过程序化交易</w:t>
      </w:r>
      <w:r>
        <w:rPr>
          <w:rFonts w:hint="eastAsia"/>
          <w:spacing w:val="30"/>
          <w:sz w:val="21"/>
          <w:szCs w:val="21"/>
        </w:rPr>
        <w:t>系统</w:t>
      </w:r>
      <w:r>
        <w:rPr>
          <w:spacing w:val="30"/>
          <w:sz w:val="21"/>
          <w:szCs w:val="21"/>
        </w:rPr>
        <w:t>发布的期货行情及其他信息，有可能出现延迟或错误，从而导致</w:t>
      </w:r>
      <w:r>
        <w:rPr>
          <w:rFonts w:hint="eastAsia"/>
          <w:spacing w:val="30"/>
          <w:sz w:val="21"/>
          <w:szCs w:val="21"/>
        </w:rPr>
        <w:t>客户</w:t>
      </w:r>
      <w:r>
        <w:rPr>
          <w:spacing w:val="30"/>
          <w:sz w:val="21"/>
          <w:szCs w:val="21"/>
        </w:rPr>
        <w:t>做出错误判断</w:t>
      </w:r>
      <w:r>
        <w:rPr>
          <w:rFonts w:hint="eastAsia"/>
          <w:spacing w:val="30"/>
          <w:sz w:val="21"/>
          <w:szCs w:val="21"/>
        </w:rPr>
        <w:t>，</w:t>
      </w:r>
      <w:r>
        <w:rPr>
          <w:spacing w:val="30"/>
          <w:sz w:val="21"/>
          <w:szCs w:val="21"/>
        </w:rPr>
        <w:t>客户据此入市，由此造成的损失由</w:t>
      </w:r>
      <w:r>
        <w:rPr>
          <w:rFonts w:hint="eastAsia"/>
          <w:spacing w:val="30"/>
          <w:sz w:val="21"/>
          <w:szCs w:val="21"/>
        </w:rPr>
        <w:t>客户</w:t>
      </w:r>
      <w:r>
        <w:rPr>
          <w:spacing w:val="30"/>
          <w:sz w:val="21"/>
          <w:szCs w:val="21"/>
        </w:rPr>
        <w:t xml:space="preserve">自行承担。 </w:t>
      </w:r>
    </w:p>
    <w:p>
      <w:pPr>
        <w:pStyle w:val="5"/>
        <w:numPr>
          <w:ilvl w:val="0"/>
          <w:numId w:val="1"/>
        </w:numPr>
        <w:tabs>
          <w:tab w:val="left" w:pos="567"/>
        </w:tabs>
        <w:snapToGrid w:val="0"/>
        <w:spacing w:before="0" w:beforeAutospacing="0" w:after="0" w:afterAutospacing="0" w:line="320" w:lineRule="exact"/>
        <w:ind w:left="0" w:firstLine="0"/>
        <w:rPr>
          <w:spacing w:val="30"/>
          <w:sz w:val="21"/>
          <w:szCs w:val="21"/>
        </w:rPr>
      </w:pPr>
      <w:r>
        <w:rPr>
          <w:spacing w:val="30"/>
          <w:sz w:val="21"/>
          <w:szCs w:val="21"/>
        </w:rPr>
        <w:t>本揭示书未能详细列举进行程序化交易的风险事项，客户应在对程序化交易充分熟悉和了解之后，方可使用。</w:t>
      </w:r>
      <w:r>
        <w:rPr>
          <w:rFonts w:hint="eastAsia"/>
          <w:spacing w:val="30"/>
          <w:sz w:val="21"/>
          <w:szCs w:val="21"/>
        </w:rPr>
        <w:t>客户</w:t>
      </w:r>
      <w:r>
        <w:rPr>
          <w:spacing w:val="30"/>
          <w:sz w:val="21"/>
          <w:szCs w:val="21"/>
        </w:rPr>
        <w:t>在签署本《</w:t>
      </w:r>
      <w:r>
        <w:rPr>
          <w:rFonts w:hint="eastAsia"/>
          <w:spacing w:val="30"/>
          <w:sz w:val="21"/>
          <w:szCs w:val="21"/>
        </w:rPr>
        <w:t>程序化交易风险揭示书</w:t>
      </w:r>
      <w:r>
        <w:rPr>
          <w:spacing w:val="30"/>
          <w:sz w:val="21"/>
          <w:szCs w:val="21"/>
        </w:rPr>
        <w:t>》后，我</w:t>
      </w:r>
      <w:r>
        <w:rPr>
          <w:rFonts w:hint="eastAsia"/>
          <w:spacing w:val="30"/>
          <w:sz w:val="21"/>
          <w:szCs w:val="21"/>
        </w:rPr>
        <w:t>公司</w:t>
      </w:r>
      <w:r>
        <w:rPr>
          <w:spacing w:val="30"/>
          <w:sz w:val="21"/>
          <w:szCs w:val="21"/>
        </w:rPr>
        <w:t>将认为</w:t>
      </w:r>
      <w:r>
        <w:rPr>
          <w:rFonts w:hint="eastAsia"/>
          <w:spacing w:val="30"/>
          <w:sz w:val="21"/>
          <w:szCs w:val="21"/>
        </w:rPr>
        <w:t>客户</w:t>
      </w:r>
      <w:r>
        <w:rPr>
          <w:spacing w:val="30"/>
          <w:sz w:val="21"/>
          <w:szCs w:val="21"/>
        </w:rPr>
        <w:t>已经完全了解程序化交易的各种风险，并承诺能够独立承担程序化交易可能出现的风险和承担由此带来的损失</w:t>
      </w:r>
      <w:r>
        <w:rPr>
          <w:rFonts w:hint="eastAsia"/>
          <w:spacing w:val="30"/>
          <w:sz w:val="21"/>
          <w:szCs w:val="21"/>
        </w:rPr>
        <w:t>，</w:t>
      </w:r>
      <w:r>
        <w:rPr>
          <w:spacing w:val="30"/>
          <w:sz w:val="21"/>
          <w:szCs w:val="21"/>
        </w:rPr>
        <w:t>本公司不对</w:t>
      </w:r>
      <w:r>
        <w:rPr>
          <w:rFonts w:hint="eastAsia"/>
          <w:spacing w:val="30"/>
          <w:sz w:val="21"/>
          <w:szCs w:val="21"/>
        </w:rPr>
        <w:t>客户进行</w:t>
      </w:r>
      <w:r>
        <w:rPr>
          <w:spacing w:val="30"/>
          <w:sz w:val="21"/>
          <w:szCs w:val="21"/>
        </w:rPr>
        <w:t xml:space="preserve">程序化交易的结果负责。 </w:t>
      </w:r>
    </w:p>
    <w:p>
      <w:pPr>
        <w:pStyle w:val="5"/>
        <w:tabs>
          <w:tab w:val="left" w:pos="567"/>
        </w:tabs>
        <w:snapToGrid w:val="0"/>
        <w:spacing w:before="0" w:beforeAutospacing="0" w:after="0" w:afterAutospacing="0" w:line="320" w:lineRule="exact"/>
        <w:rPr>
          <w:spacing w:val="30"/>
          <w:sz w:val="21"/>
          <w:szCs w:val="21"/>
          <w:u w:val="single"/>
        </w:rPr>
      </w:pPr>
      <w:r>
        <w:rPr>
          <w:rFonts w:hint="eastAsia"/>
          <w:spacing w:val="30"/>
          <w:sz w:val="21"/>
          <w:szCs w:val="21"/>
        </w:rPr>
        <w:t xml:space="preserve"> </w:t>
      </w:r>
    </w:p>
    <w:p>
      <w:pPr>
        <w:pStyle w:val="9"/>
        <w:numPr>
          <w:ilvl w:val="-1"/>
          <w:numId w:val="0"/>
        </w:numPr>
        <w:ind w:left="426" w:firstLine="0" w:firstLineChars="0"/>
        <w:rPr>
          <w:rFonts w:hint="eastAsia"/>
          <w:b/>
          <w:sz w:val="24"/>
          <w:szCs w:val="24"/>
          <w:u w:val="single"/>
        </w:rPr>
      </w:pPr>
      <w:r>
        <w:rPr>
          <w:rFonts w:hint="eastAsia"/>
          <w:b/>
          <w:sz w:val="24"/>
          <w:szCs w:val="24"/>
          <w:u w:val="single"/>
        </w:rPr>
        <w:t>以上各项内容，本人/</w:t>
      </w:r>
      <w:r>
        <w:rPr>
          <w:rFonts w:hint="eastAsia"/>
          <w:b/>
          <w:sz w:val="24"/>
          <w:szCs w:val="24"/>
          <w:u w:val="single"/>
          <w:lang w:val="en-US" w:eastAsia="zh-CN"/>
        </w:rPr>
        <w:t>本</w:t>
      </w:r>
      <w:r>
        <w:rPr>
          <w:rFonts w:hint="eastAsia"/>
          <w:b/>
          <w:sz w:val="24"/>
          <w:szCs w:val="24"/>
          <w:u w:val="single"/>
        </w:rPr>
        <w:t>单位已阅读并完全理解。</w:t>
      </w:r>
    </w:p>
    <w:p>
      <w:pPr>
        <w:pStyle w:val="9"/>
        <w:numPr>
          <w:ilvl w:val="-1"/>
          <w:numId w:val="0"/>
        </w:numPr>
        <w:ind w:left="426" w:firstLine="0" w:firstLineChars="0"/>
        <w:rPr>
          <w:rFonts w:hint="eastAsia"/>
          <w:b/>
          <w:sz w:val="24"/>
          <w:szCs w:val="24"/>
          <w:u w:val="single"/>
        </w:rPr>
      </w:pPr>
    </w:p>
    <w:p>
      <w:pPr>
        <w:pStyle w:val="9"/>
        <w:numPr>
          <w:ilvl w:val="-1"/>
          <w:numId w:val="0"/>
        </w:numPr>
        <w:ind w:left="426" w:firstLine="0" w:firstLineChars="0"/>
        <w:rPr>
          <w:rFonts w:hint="eastAsia"/>
          <w:b w:val="0"/>
          <w:bCs/>
          <w:sz w:val="24"/>
          <w:szCs w:val="24"/>
          <w:u w:val="none"/>
          <w:lang w:val="en-US" w:eastAsia="zh-CN"/>
        </w:rPr>
      </w:pPr>
      <w:r>
        <w:rPr>
          <w:rFonts w:hint="eastAsia"/>
          <w:b w:val="0"/>
          <w:bCs/>
          <w:sz w:val="24"/>
          <w:szCs w:val="24"/>
          <w:u w:val="none"/>
          <w:lang w:val="en-US" w:eastAsia="zh-CN"/>
        </w:rPr>
        <w:t>___________________________________________</w:t>
      </w:r>
    </w:p>
    <w:p>
      <w:pPr>
        <w:pStyle w:val="9"/>
        <w:numPr>
          <w:ilvl w:val="-1"/>
          <w:numId w:val="0"/>
        </w:numPr>
        <w:ind w:left="426" w:firstLine="0" w:firstLineChars="0"/>
        <w:rPr>
          <w:rFonts w:hint="default"/>
          <w:b/>
          <w:sz w:val="24"/>
          <w:szCs w:val="24"/>
          <w:u w:val="none"/>
          <w:lang w:val="en-US" w:eastAsia="zh-CN"/>
        </w:rPr>
      </w:pPr>
      <w:r>
        <w:rPr>
          <w:rFonts w:hint="eastAsia"/>
          <w:b/>
          <w:sz w:val="24"/>
          <w:szCs w:val="24"/>
          <w:u w:val="none"/>
          <w:lang w:val="en-US" w:eastAsia="zh-CN"/>
        </w:rPr>
        <w:t>（请抄写以上划线部分）</w:t>
      </w:r>
    </w:p>
    <w:p>
      <w:pPr>
        <w:spacing w:line="320" w:lineRule="exact"/>
        <w:ind w:left="420" w:leftChars="200" w:firstLine="2633" w:firstLineChars="1254"/>
      </w:pPr>
      <w:r>
        <w:rPr>
          <w:rFonts w:hint="eastAsia"/>
        </w:rPr>
        <w:t xml:space="preserve">                    自然人签字/法人加盖公章：</w:t>
      </w:r>
    </w:p>
    <w:p>
      <w:pPr>
        <w:pStyle w:val="9"/>
        <w:spacing w:line="320" w:lineRule="exact"/>
        <w:ind w:left="1619" w:leftChars="771" w:firstLine="3510" w:firstLineChars="1300"/>
        <w:rPr>
          <w:rFonts w:ascii="宋体" w:hAnsi="宋体" w:cs="宋体"/>
          <w:spacing w:val="30"/>
          <w:kern w:val="0"/>
        </w:rPr>
      </w:pPr>
      <w:r>
        <w:rPr>
          <w:rFonts w:hint="eastAsia" w:ascii="宋体" w:hAnsi="宋体" w:cs="宋体"/>
          <w:spacing w:val="30"/>
          <w:kern w:val="0"/>
        </w:rPr>
        <w:t>法人代表或被授权人签字：</w:t>
      </w:r>
    </w:p>
    <w:p>
      <w:pPr>
        <w:pStyle w:val="9"/>
        <w:spacing w:line="320" w:lineRule="exact"/>
        <w:ind w:left="1619" w:leftChars="771" w:firstLine="3510" w:firstLineChars="1300"/>
        <w:rPr>
          <w:rFonts w:ascii="宋体" w:hAnsi="宋体" w:cs="宋体"/>
          <w:spacing w:val="30"/>
          <w:kern w:val="0"/>
        </w:rPr>
      </w:pPr>
      <w:r>
        <w:rPr>
          <w:rFonts w:hint="eastAsia" w:ascii="宋体" w:hAnsi="宋体" w:cs="宋体"/>
          <w:spacing w:val="30"/>
          <w:kern w:val="0"/>
        </w:rPr>
        <w:t>日  期：</w:t>
      </w:r>
    </w:p>
    <w:sectPr>
      <w:pgSz w:w="11906" w:h="16838"/>
      <w:pgMar w:top="873"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B6392"/>
    <w:multiLevelType w:val="multilevel"/>
    <w:tmpl w:val="388B639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3OWMyNjQ0OTY0NzYyNWFjY2VkZTZlZDUxNjNhNWMifQ=="/>
  </w:docVars>
  <w:rsids>
    <w:rsidRoot w:val="002F361D"/>
    <w:rsid w:val="001557C6"/>
    <w:rsid w:val="002F361D"/>
    <w:rsid w:val="00377F48"/>
    <w:rsid w:val="007C4011"/>
    <w:rsid w:val="00B027FC"/>
    <w:rsid w:val="00B3322E"/>
    <w:rsid w:val="00F84D25"/>
    <w:rsid w:val="1C29066F"/>
    <w:rsid w:val="333743B4"/>
    <w:rsid w:val="4AA97209"/>
    <w:rsid w:val="4C242F28"/>
    <w:rsid w:val="51223DEB"/>
    <w:rsid w:val="56D84518"/>
    <w:rsid w:val="5D7C241D"/>
    <w:rsid w:val="5D85308D"/>
    <w:rsid w:val="5E79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sz w:val="24"/>
      <w:szCs w:val="24"/>
    </w:rPr>
  </w:style>
  <w:style w:type="character" w:customStyle="1" w:styleId="8">
    <w:name w:val="标题 2 字符"/>
    <w:basedOn w:val="7"/>
    <w:link w:val="2"/>
    <w:qFormat/>
    <w:uiPriority w:val="9"/>
    <w:rPr>
      <w:rFonts w:asciiTheme="majorHAnsi" w:hAnsiTheme="majorHAnsi" w:eastAsiaTheme="majorEastAsia" w:cstheme="majorBidi"/>
      <w:b/>
      <w:bCs/>
      <w:sz w:val="32"/>
      <w:szCs w:val="32"/>
    </w:rPr>
  </w:style>
  <w:style w:type="paragraph" w:styleId="9">
    <w:name w:val="List Paragraph"/>
    <w:basedOn w:val="1"/>
    <w:qFormat/>
    <w:uiPriority w:val="0"/>
    <w:pPr>
      <w:ind w:firstLine="420" w:firstLineChars="200"/>
    </w:pPr>
  </w:style>
  <w:style w:type="character" w:customStyle="1" w:styleId="10">
    <w:name w:val="页眉 字符"/>
    <w:basedOn w:val="7"/>
    <w:link w:val="4"/>
    <w:semiHidden/>
    <w:qFormat/>
    <w:uiPriority w:val="99"/>
    <w:rPr>
      <w:rFonts w:ascii="Calibri" w:hAnsi="Calibri" w:eastAsia="宋体" w:cs="Calibri"/>
      <w:sz w:val="18"/>
      <w:szCs w:val="18"/>
    </w:rPr>
  </w:style>
  <w:style w:type="character" w:customStyle="1" w:styleId="11">
    <w:name w:val="页脚 字符"/>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923</Words>
  <Characters>965</Characters>
  <Lines>7</Lines>
  <Paragraphs>2</Paragraphs>
  <TotalTime>19</TotalTime>
  <ScaleCrop>false</ScaleCrop>
  <LinksUpToDate>false</LinksUpToDate>
  <CharactersWithSpaces>1072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2013-12-20T02:31:00Z</dcterms:created>
  <dc:creator>Administrator</dc:creator>
  <cp:lastModifiedBy>Z先生</cp:lastModifiedBy>
  <dcterms:modified xsi:type="dcterms:W3CDTF">2022-05-06T06:42:24Z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9CBD0D1D5E2541E481025771ECC35A0E</vt:lpwstr>
  </property>
</Properties>
</file>