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2A" w:rsidRDefault="002B5051" w:rsidP="002B5051">
      <w:pPr>
        <w:jc w:val="center"/>
        <w:rPr>
          <w:rFonts w:ascii="微软雅黑" w:eastAsia="微软雅黑" w:hAnsi="微软雅黑"/>
          <w:b/>
          <w:bCs/>
          <w:color w:val="4D4D4D"/>
          <w:sz w:val="33"/>
          <w:szCs w:val="33"/>
          <w:shd w:val="clear" w:color="auto" w:fill="F6F7F9"/>
        </w:rPr>
      </w:pPr>
      <w:r>
        <w:rPr>
          <w:rFonts w:ascii="微软雅黑" w:eastAsia="微软雅黑" w:hAnsi="微软雅黑" w:hint="eastAsia"/>
          <w:b/>
          <w:bCs/>
          <w:color w:val="4D4D4D"/>
          <w:sz w:val="33"/>
          <w:szCs w:val="33"/>
          <w:shd w:val="clear" w:color="auto" w:fill="F6F7F9"/>
        </w:rPr>
        <w:t>关于国债期货实施梯度申报费有关事项的通知</w:t>
      </w:r>
    </w:p>
    <w:p w:rsidR="002B5051" w:rsidRPr="002B5051" w:rsidRDefault="002B5051" w:rsidP="002B5051">
      <w:pPr>
        <w:widowControl/>
        <w:shd w:val="clear" w:color="auto" w:fill="F6F7F9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000000"/>
          <w:kern w:val="0"/>
          <w:szCs w:val="21"/>
        </w:rPr>
        <w:t>中金所发〔2024〕29号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各会员单位：</w:t>
      </w:r>
      <w:bookmarkStart w:id="0" w:name="_GoBack"/>
      <w:bookmarkEnd w:id="0"/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根据《中国金融期货交易所结算细则》，交易所将自2024年7月1日起，对在国债期货合约上信息量和委托成交比（以下简称OTR）达到一定标准的非期货公司会员、客户收取梯度申报费。现将具体事项通知如下：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一、适用情形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1.交易所对单日在国债期货合约上信息量和OTR达到一定标准的非期货公司会员、客户收取梯度申报费。信息量是指买入、卖出以及撤销委托笔数的总和，报单和撤单各计为1笔。因即时全部成交或撤销限价指令、即时成交剩余撤销限价指令、市价指令产生的报单和撤单计入信息量统计。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2.同一客户通过不同期货公司会员申报交易，其信息量、OTR等指标合并计算。一组实际控制关系账户的信息量、OTR合并计算，其收费标准与单个客户相同。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3.做市商在国债期货做</w:t>
      </w:r>
      <w:proofErr w:type="gramStart"/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市品种</w:t>
      </w:r>
      <w:proofErr w:type="gramEnd"/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上免收梯度申报费。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二、收费标准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梯度申报费按日收取。非期货公司会员、客户在国债期货合约上的梯度申报费=Σ非期货公司会员、客户在该国债期货合约上各档位的信息量 * 相应费率，具体费率标准如下:</w:t>
      </w:r>
    </w:p>
    <w:p w:rsidR="002B5051" w:rsidRPr="002B5051" w:rsidRDefault="002B5051" w:rsidP="002B5051">
      <w:pPr>
        <w:widowControl/>
        <w:shd w:val="clear" w:color="auto" w:fill="F6F7F9"/>
        <w:jc w:val="center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b/>
          <w:bCs/>
          <w:color w:val="4D4D4D"/>
          <w:kern w:val="0"/>
          <w:szCs w:val="21"/>
        </w:rPr>
        <w:t>表：国债期货梯度申报费标准</w:t>
      </w:r>
    </w:p>
    <w:p w:rsidR="002B5051" w:rsidRPr="002B5051" w:rsidRDefault="002B5051" w:rsidP="002B5051">
      <w:pPr>
        <w:widowControl/>
        <w:shd w:val="clear" w:color="auto" w:fill="F6F7F9"/>
        <w:jc w:val="center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</w:t>
      </w:r>
    </w:p>
    <w:tbl>
      <w:tblPr>
        <w:tblW w:w="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159"/>
        <w:gridCol w:w="2624"/>
        <w:gridCol w:w="2458"/>
      </w:tblGrid>
      <w:tr w:rsidR="002B5051" w:rsidRPr="002B5051" w:rsidTr="002B5051">
        <w:trPr>
          <w:tblCellSpacing w:w="0" w:type="dxa"/>
          <w:jc w:val="center"/>
        </w:trPr>
        <w:tc>
          <w:tcPr>
            <w:tcW w:w="32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051" w:rsidRPr="002B5051" w:rsidRDefault="002B5051" w:rsidP="002B50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第一种情形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第二种情形</w:t>
            </w:r>
          </w:p>
        </w:tc>
      </w:tr>
      <w:tr w:rsidR="002B5051" w:rsidRPr="002B5051" w:rsidTr="002B5051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0≤OTR≤2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OTR&gt;2</w:t>
            </w:r>
          </w:p>
        </w:tc>
      </w:tr>
      <w:tr w:rsidR="002B5051" w:rsidRPr="002B5051" w:rsidTr="002B5051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第一档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1~4000笔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免收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免收</w:t>
            </w:r>
          </w:p>
        </w:tc>
      </w:tr>
      <w:tr w:rsidR="002B5051" w:rsidRPr="002B5051" w:rsidTr="002B5051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第二档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4001~8000笔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免收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1元/笔</w:t>
            </w:r>
          </w:p>
        </w:tc>
      </w:tr>
      <w:tr w:rsidR="002B5051" w:rsidRPr="002B5051" w:rsidTr="002B5051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第三档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8001~12000笔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10元/笔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20元/笔</w:t>
            </w:r>
          </w:p>
        </w:tc>
      </w:tr>
      <w:tr w:rsidR="002B5051" w:rsidRPr="002B5051" w:rsidTr="002B5051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第四档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≥12001笔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20元/笔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051" w:rsidRPr="002B5051" w:rsidRDefault="002B5051" w:rsidP="002B50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051">
              <w:rPr>
                <w:rFonts w:ascii="宋体" w:eastAsia="宋体" w:hAnsi="宋体" w:cs="宋体"/>
                <w:kern w:val="0"/>
                <w:sz w:val="24"/>
                <w:szCs w:val="24"/>
              </w:rPr>
              <w:t>50元/笔</w:t>
            </w:r>
          </w:p>
        </w:tc>
      </w:tr>
    </w:tbl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lastRenderedPageBreak/>
        <w:t>       OTR计算公式如下：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OTR=信息量/有成交的委托笔数–1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非期货公司会员、客户在国债期货合约上有成交的委托笔数为0时，视其为1计算OTR。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同一客户通过不同期货公司会员申报交易，按照客户在不同期货公司会员下产生的信息量比例，确定其在相关期货公司会员处的申报费。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三、收取方式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当日结算时，交易所从结算会员的结算准备金中扣划申报费。因特殊情况当日结算时无法扣划申报费的，交易所可以在下一交易日结算时扣划。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四、其他事项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会员应当切实履行客户交易行为管理职责，积极采取相关措施，有效预防客户出现因资金不足不能及时支付申报费等费用的情形。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本通知自2024年7月1日起实施。</w:t>
      </w:r>
    </w:p>
    <w:p w:rsidR="002B5051" w:rsidRPr="002B5051" w:rsidRDefault="002B5051" w:rsidP="002B5051">
      <w:pPr>
        <w:widowControl/>
        <w:shd w:val="clear" w:color="auto" w:fill="F6F7F9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       特此通知。</w:t>
      </w:r>
    </w:p>
    <w:p w:rsidR="002B5051" w:rsidRPr="002B5051" w:rsidRDefault="002B5051" w:rsidP="002B5051">
      <w:pPr>
        <w:widowControl/>
        <w:shd w:val="clear" w:color="auto" w:fill="F6F7F9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中国金融期货交易所</w:t>
      </w:r>
    </w:p>
    <w:p w:rsidR="002B5051" w:rsidRPr="002B5051" w:rsidRDefault="002B5051" w:rsidP="002B5051">
      <w:pPr>
        <w:widowControl/>
        <w:shd w:val="clear" w:color="auto" w:fill="F6F7F9"/>
        <w:jc w:val="righ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2B5051">
        <w:rPr>
          <w:rFonts w:ascii="微软雅黑" w:eastAsia="微软雅黑" w:hAnsi="微软雅黑" w:cs="宋体" w:hint="eastAsia"/>
          <w:color w:val="4D4D4D"/>
          <w:kern w:val="0"/>
          <w:szCs w:val="21"/>
        </w:rPr>
        <w:t>2024年5月24日</w:t>
      </w:r>
    </w:p>
    <w:p w:rsidR="002B5051" w:rsidRDefault="002B5051">
      <w:pPr>
        <w:rPr>
          <w:rFonts w:hint="eastAsia"/>
        </w:rPr>
      </w:pPr>
    </w:p>
    <w:sectPr w:rsidR="002B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7A"/>
    <w:rsid w:val="002B5051"/>
    <w:rsid w:val="0053312A"/>
    <w:rsid w:val="00B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8964"/>
  <w15:chartTrackingRefBased/>
  <w15:docId w15:val="{50F4353E-952E-47F8-8DC0-C39C6953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5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2024-05-27T00:38:00Z</dcterms:created>
  <dcterms:modified xsi:type="dcterms:W3CDTF">2024-05-27T00:38:00Z</dcterms:modified>
</cp:coreProperties>
</file>