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51" w:lineRule="atLeast"/>
        <w:ind w:left="0" w:right="0"/>
        <w:jc w:val="center"/>
        <w:rPr>
          <w:sz w:val="47"/>
          <w:szCs w:val="47"/>
        </w:rPr>
      </w:pPr>
      <w:r>
        <w:rPr>
          <w:i w:val="0"/>
          <w:iCs w:val="0"/>
          <w:caps w:val="0"/>
          <w:color w:val="333333"/>
          <w:spacing w:val="0"/>
          <w:sz w:val="47"/>
          <w:szCs w:val="47"/>
        </w:rPr>
        <w:t>关于修改《广州期货交易所异常交易行为管理办法》的通知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《广州期货交易所异常交易行为管理办法》的修改已经广州期货交易所董事会审议通过，并报告中国证监会，现予以发布，自2024年10月25日起实施。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特此通知。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firstLine="42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firstLine="420" w:firstLineChars="0"/>
        <w:jc w:val="both"/>
        <w:rPr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instrText xml:space="preserve"> HYPERLINK "http://www.gfex.com.cn/gfex/tzts/202407/162e9ce7dbbb453eb10df782c3396f26/files/1.%E3%80%8A%E5%B9%BF%E5%B7%9E%E6%9C%9F%E8%B4%A7%E4%BA%A4%E6%98%93%E6%89%80%E5%BC%82%E5%B8%B8%E4%BA%A4%E6%98%93%E8%A1%8C%E4%B8%BA%E7%AE%A1%E7%90%86%E5%8A%9E%E6%B3%95%E3%80%8B-20240719102011683.pdf" \t "http://www.gfex.com.cn/gfex/tzts/202407/_blank"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t>1.《广州期货交易所异常交易行为管理办法》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both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instrText xml:space="preserve"> HYPERLINK "http://www.gfex.com.cn/gfex/tzts/202407/162e9ce7dbbb453eb10df782c3396f26/files/2.%E3%80%8A%E5%B9%BF%E5%B7%9E%E6%9C%9F%E8%B4%A7%E4%BA%A4%E6%98%93%E6%89%80%E5%BC%82%E5%B8%B8%E4%BA%A4%E6%98%93%E8%A1%8C%E4%B8%BA%E7%AE%A1%E7%90%86%E5%8A%9E%E6%B3%95%E3%80%8B%E4%BF%AE%E8%AE%A2%E5%AF%B9%E7%85%A7%E8%A1%A8.pdf" \t "http://www.gfex.com.cn/gfex/tzts/202407/_blank"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t>2.《广州期货交易所异常交易行为管理办法》修订对照表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广州期货交易所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2024年7月19日</w:t>
      </w:r>
    </w:p>
    <w:p>
      <w:pPr>
        <w:rPr>
          <w:rFonts w:ascii="黑体" w:hAnsi="黑体" w:eastAsia="黑体" w:cs="黑体"/>
          <w:spacing w:val="-12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br w:type="page"/>
      </w:r>
    </w:p>
    <w:p>
      <w:pPr>
        <w:spacing w:before="184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84" w:line="203" w:lineRule="auto"/>
        <w:ind w:left="4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广</w:t>
      </w:r>
      <w:r>
        <w:rPr>
          <w:rFonts w:ascii="微软雅黑" w:hAnsi="微软雅黑" w:eastAsia="微软雅黑" w:cs="微软雅黑"/>
          <w:spacing w:val="1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州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期货交易所异常交易行为管理办法</w:t>
      </w:r>
    </w:p>
    <w:p>
      <w:pPr>
        <w:spacing w:before="55" w:line="343" w:lineRule="auto"/>
        <w:ind w:left="1571" w:right="88" w:hanging="1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6"/>
          <w:sz w:val="31"/>
          <w:szCs w:val="31"/>
        </w:rPr>
        <w:t>日广期所发〔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198 </w:t>
      </w:r>
      <w:r>
        <w:rPr>
          <w:rFonts w:ascii="仿宋" w:hAnsi="仿宋" w:eastAsia="仿宋" w:cs="仿宋"/>
          <w:spacing w:val="6"/>
          <w:sz w:val="31"/>
          <w:szCs w:val="31"/>
        </w:rPr>
        <w:t>号文件发布，修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改部分自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25 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日起实施 </w:t>
      </w:r>
      <w:r>
        <w:rPr>
          <w:rFonts w:ascii="仿宋" w:hAnsi="仿宋" w:eastAsia="仿宋" w:cs="仿宋"/>
          <w:spacing w:val="-9"/>
          <w:sz w:val="31"/>
          <w:szCs w:val="31"/>
        </w:rPr>
        <w:t>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7" w:lineRule="auto"/>
        <w:ind w:left="3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总则</w:t>
      </w:r>
    </w:p>
    <w:p>
      <w:pPr>
        <w:spacing w:before="181" w:line="333" w:lineRule="auto"/>
        <w:ind w:left="30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为规范期货交易行为，保护期货交易当事人的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合法权益，维护市场正常秩序，根据《广州期货交易所交</w:t>
      </w:r>
      <w:r>
        <w:rPr>
          <w:rFonts w:ascii="仿宋" w:hAnsi="仿宋" w:eastAsia="仿宋" w:cs="仿宋"/>
          <w:spacing w:val="4"/>
          <w:sz w:val="31"/>
          <w:szCs w:val="31"/>
        </w:rPr>
        <w:t>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7"/>
          <w:sz w:val="31"/>
          <w:szCs w:val="31"/>
        </w:rPr>
        <w:t>则》，制定本办法。</w:t>
      </w:r>
    </w:p>
    <w:p>
      <w:pPr>
        <w:spacing w:before="5" w:line="333" w:lineRule="auto"/>
        <w:ind w:left="26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广州期货交易所 ( 以下简称交易所) 对期货交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易行为进行自律管理，发现交易行为异常的，可以启动异</w:t>
      </w:r>
      <w:r>
        <w:rPr>
          <w:rFonts w:ascii="仿宋" w:hAnsi="仿宋" w:eastAsia="仿宋" w:cs="仿宋"/>
          <w:spacing w:val="8"/>
          <w:sz w:val="31"/>
          <w:szCs w:val="31"/>
        </w:rPr>
        <w:t>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交易行为处理程序，对相关会员、境外特殊参与者、境外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介</w:t>
      </w:r>
      <w:r>
        <w:rPr>
          <w:rFonts w:ascii="仿宋" w:hAnsi="仿宋" w:eastAsia="仿宋" w:cs="仿宋"/>
          <w:spacing w:val="11"/>
          <w:sz w:val="31"/>
          <w:szCs w:val="31"/>
        </w:rPr>
        <w:t>机</w:t>
      </w:r>
      <w:r>
        <w:rPr>
          <w:rFonts w:ascii="仿宋" w:hAnsi="仿宋" w:eastAsia="仿宋" w:cs="仿宋"/>
          <w:spacing w:val="8"/>
          <w:sz w:val="31"/>
          <w:szCs w:val="31"/>
        </w:rPr>
        <w:t>构或者客户采取相应自律管理措施。</w:t>
      </w:r>
    </w:p>
    <w:p>
      <w:pPr>
        <w:spacing w:before="3" w:line="333" w:lineRule="auto"/>
        <w:ind w:left="26" w:righ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期货公司会员、境外特殊经纪参与者、境外中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介机构应当切实履行客户交易行为管理职责，及时发现、</w:t>
      </w:r>
      <w:r>
        <w:rPr>
          <w:rFonts w:ascii="仿宋" w:hAnsi="仿宋" w:eastAsia="仿宋" w:cs="仿宋"/>
          <w:spacing w:val="6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时制止、及时报告客户的异常交易行为，不得纵容、诱导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怂</w:t>
      </w:r>
      <w:r>
        <w:rPr>
          <w:rFonts w:ascii="仿宋" w:hAnsi="仿宋" w:eastAsia="仿宋" w:cs="仿宋"/>
          <w:spacing w:val="8"/>
          <w:sz w:val="31"/>
          <w:szCs w:val="31"/>
        </w:rPr>
        <w:t>恿、支持客户进行异常交易。</w:t>
      </w:r>
    </w:p>
    <w:p>
      <w:pPr>
        <w:spacing w:before="6" w:line="336" w:lineRule="auto"/>
        <w:ind w:left="31" w:right="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非期货公司会员、境外特殊非经纪参与者、客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户参</w:t>
      </w:r>
      <w:r>
        <w:rPr>
          <w:rFonts w:ascii="仿宋" w:hAnsi="仿宋" w:eastAsia="仿宋" w:cs="仿宋"/>
          <w:spacing w:val="12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>期货交易应当遵守法律、法规、规章和交易所业务规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则，接受交易所自</w:t>
      </w:r>
      <w:r>
        <w:rPr>
          <w:rFonts w:ascii="仿宋" w:hAnsi="仿宋" w:eastAsia="仿宋" w:cs="仿宋"/>
          <w:spacing w:val="3"/>
          <w:sz w:val="31"/>
          <w:szCs w:val="31"/>
        </w:rPr>
        <w:t>律</w:t>
      </w:r>
      <w:r>
        <w:rPr>
          <w:rFonts w:ascii="仿宋" w:hAnsi="仿宋" w:eastAsia="仿宋" w:cs="仿宋"/>
          <w:spacing w:val="2"/>
          <w:sz w:val="31"/>
          <w:szCs w:val="31"/>
        </w:rPr>
        <w:t>管理， 自觉规范交易行为。客户应当接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受期</w:t>
      </w:r>
      <w:r>
        <w:rPr>
          <w:rFonts w:ascii="仿宋" w:hAnsi="仿宋" w:eastAsia="仿宋" w:cs="仿宋"/>
          <w:spacing w:val="10"/>
          <w:sz w:val="31"/>
          <w:szCs w:val="31"/>
        </w:rPr>
        <w:t>货</w:t>
      </w:r>
      <w:r>
        <w:rPr>
          <w:rFonts w:ascii="仿宋" w:hAnsi="仿宋" w:eastAsia="仿宋" w:cs="仿宋"/>
          <w:spacing w:val="8"/>
          <w:sz w:val="31"/>
          <w:szCs w:val="31"/>
        </w:rPr>
        <w:t>公司会员、境外特殊经纪参与者、境外中介机构对其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交易行为的合法合规性管理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3" w:type="default"/>
          <w:pgSz w:w="11906" w:h="16839"/>
          <w:pgMar w:top="1431" w:right="1785" w:bottom="1305" w:left="1785" w:header="0" w:footer="971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7" w:lineRule="auto"/>
        <w:ind w:left="23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二章 异常交易行为认定</w:t>
      </w:r>
    </w:p>
    <w:p>
      <w:pPr>
        <w:spacing w:before="178" w:line="334" w:lineRule="auto"/>
        <w:ind w:left="34" w:right="7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期货交易出现以下情形之一的，交易所认定为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异</w:t>
      </w:r>
      <w:r>
        <w:rPr>
          <w:rFonts w:ascii="仿宋" w:hAnsi="仿宋" w:eastAsia="仿宋" w:cs="仿宋"/>
          <w:spacing w:val="5"/>
          <w:sz w:val="31"/>
          <w:szCs w:val="31"/>
        </w:rPr>
        <w:t>常交易行为：</w:t>
      </w:r>
    </w:p>
    <w:p>
      <w:pPr>
        <w:spacing w:before="2" w:line="333" w:lineRule="auto"/>
        <w:ind w:left="36" w:right="7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一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自成交行为，即以自己为交易对象，进行自买自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卖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或者实际控制关系账户组内发生的互为对手方交易的行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为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</w:p>
    <w:p>
      <w:pPr>
        <w:spacing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</w:t>
      </w:r>
      <w:r>
        <w:rPr>
          <w:rFonts w:ascii="仿宋" w:hAnsi="仿宋" w:eastAsia="仿宋" w:cs="仿宋"/>
          <w:spacing w:val="11"/>
          <w:sz w:val="31"/>
          <w:szCs w:val="31"/>
        </w:rPr>
        <w:t>)频繁报撤单行为，即频繁申报并撤销申报的行为；</w:t>
      </w:r>
    </w:p>
    <w:p>
      <w:pPr>
        <w:spacing w:before="187" w:line="334" w:lineRule="auto"/>
        <w:ind w:left="26" w:right="7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三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大额报撤单行为，即多次大额申报并撤销申报的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行为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2" w:line="333" w:lineRule="auto"/>
        <w:ind w:left="29" w:right="7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四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程序化交易扰乱交易秩序行为，即采取程序化交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易方</w:t>
      </w:r>
      <w:r>
        <w:rPr>
          <w:rFonts w:ascii="仿宋" w:hAnsi="仿宋" w:eastAsia="仿宋" w:cs="仿宋"/>
          <w:spacing w:val="12"/>
          <w:sz w:val="31"/>
          <w:szCs w:val="31"/>
        </w:rPr>
        <w:t>式</w:t>
      </w:r>
      <w:r>
        <w:rPr>
          <w:rFonts w:ascii="仿宋" w:hAnsi="仿宋" w:eastAsia="仿宋" w:cs="仿宋"/>
          <w:spacing w:val="8"/>
          <w:sz w:val="31"/>
          <w:szCs w:val="31"/>
        </w:rPr>
        <w:t>下达交易指令，影响或者可能影响交易所系统安全或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者扰乱正常交易秩序的行为；</w:t>
      </w:r>
    </w:p>
    <w:p>
      <w:pPr>
        <w:spacing w:before="1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 中国证监会规定或者交易所认定的其他情形。</w:t>
      </w:r>
    </w:p>
    <w:p>
      <w:pPr>
        <w:spacing w:before="190" w:line="333" w:lineRule="auto"/>
        <w:ind w:left="26" w:right="7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客户、非期货公司会员、境外特殊非经纪参与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者出现以下情形之一的，即达到交易所自成交、频繁报撤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或</w:t>
      </w:r>
      <w:r>
        <w:rPr>
          <w:rFonts w:ascii="仿宋" w:hAnsi="仿宋" w:eastAsia="仿宋" w:cs="仿宋"/>
          <w:spacing w:val="11"/>
          <w:sz w:val="31"/>
          <w:szCs w:val="31"/>
        </w:rPr>
        <w:t>者</w:t>
      </w:r>
      <w:r>
        <w:rPr>
          <w:rFonts w:ascii="仿宋" w:hAnsi="仿宋" w:eastAsia="仿宋" w:cs="仿宋"/>
          <w:spacing w:val="8"/>
          <w:sz w:val="31"/>
          <w:szCs w:val="31"/>
        </w:rPr>
        <w:t>大额报撤单异常交易行为处理标准：</w:t>
      </w:r>
    </w:p>
    <w:p>
      <w:pPr>
        <w:spacing w:before="2" w:line="333" w:lineRule="auto"/>
        <w:ind w:left="70" w:right="72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 ) 单个交易日在某一</w:t>
      </w:r>
      <w:r>
        <w:rPr>
          <w:rFonts w:ascii="仿宋" w:hAnsi="仿宋" w:eastAsia="仿宋" w:cs="仿宋"/>
          <w:sz w:val="31"/>
          <w:szCs w:val="31"/>
        </w:rPr>
        <w:t xml:space="preserve">合约上的自成交次数达到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次 </w:t>
      </w:r>
      <w:r>
        <w:rPr>
          <w:rFonts w:ascii="仿宋" w:hAnsi="仿宋" w:eastAsia="仿宋" w:cs="仿宋"/>
          <w:spacing w:val="-9"/>
          <w:sz w:val="31"/>
          <w:szCs w:val="31"/>
        </w:rPr>
        <w:t>以</w:t>
      </w:r>
      <w:r>
        <w:rPr>
          <w:rFonts w:ascii="仿宋" w:hAnsi="仿宋" w:eastAsia="仿宋" w:cs="仿宋"/>
          <w:spacing w:val="-6"/>
          <w:sz w:val="31"/>
          <w:szCs w:val="31"/>
        </w:rPr>
        <w:t>上的；</w:t>
      </w:r>
    </w:p>
    <w:p>
      <w:pPr>
        <w:spacing w:before="3" w:line="333" w:lineRule="auto"/>
        <w:ind w:left="70" w:right="72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二 ) 单个交易日在某一合约上的撤单次数达到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1"/>
          <w:sz w:val="31"/>
          <w:szCs w:val="31"/>
        </w:rPr>
        <w:t>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以</w:t>
      </w:r>
      <w:r>
        <w:rPr>
          <w:rFonts w:ascii="仿宋" w:hAnsi="仿宋" w:eastAsia="仿宋" w:cs="仿宋"/>
          <w:spacing w:val="-6"/>
          <w:sz w:val="31"/>
          <w:szCs w:val="31"/>
        </w:rPr>
        <w:t>上的；</w:t>
      </w:r>
    </w:p>
    <w:p>
      <w:pPr>
        <w:spacing w:before="4" w:line="330" w:lineRule="auto"/>
        <w:ind w:left="34" w:right="7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( 三 ) 单个交易日在某一合约上的撤单次数达到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"/>
          <w:sz w:val="31"/>
          <w:szCs w:val="31"/>
        </w:rPr>
        <w:t>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，且单笔撤单的撤单量达到合约最大下单手数的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80%</w:t>
      </w:r>
      <w:r>
        <w:rPr>
          <w:rFonts w:ascii="仿宋" w:hAnsi="仿宋" w:eastAsia="仿宋" w:cs="仿宋"/>
          <w:spacing w:val="4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上的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ectPr>
          <w:footerReference r:id="rId4" w:type="default"/>
          <w:pgSz w:w="11906" w:h="16839"/>
          <w:pgMar w:top="1431" w:right="1729" w:bottom="1305" w:left="1785" w:header="0" w:footer="971" w:gutter="0"/>
          <w:cols w:space="720" w:num="1"/>
        </w:sectPr>
      </w:pPr>
    </w:p>
    <w:p>
      <w:pPr>
        <w:spacing w:before="185" w:line="333" w:lineRule="auto"/>
        <w:ind w:left="34" w:right="10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套期保值交易产生的自成交、频繁报撤单、大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</w:t>
      </w:r>
      <w:r>
        <w:rPr>
          <w:rFonts w:ascii="仿宋" w:hAnsi="仿宋" w:eastAsia="仿宋" w:cs="仿宋"/>
          <w:spacing w:val="8"/>
          <w:sz w:val="31"/>
          <w:szCs w:val="31"/>
        </w:rPr>
        <w:t>报撤单行为不构成异常交易行为。</w:t>
      </w:r>
    </w:p>
    <w:p>
      <w:pPr>
        <w:spacing w:before="2" w:line="333" w:lineRule="auto"/>
        <w:ind w:left="83" w:right="11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交易所的市价指令、止损 ( 盈 ) 指令、套利指令产生</w:t>
      </w:r>
      <w:r>
        <w:rPr>
          <w:rFonts w:ascii="仿宋" w:hAnsi="仿宋" w:eastAsia="仿宋" w:cs="仿宋"/>
          <w:spacing w:val="-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自成交、频繁报撤单、大额报撤单行为不</w:t>
      </w:r>
      <w:r>
        <w:rPr>
          <w:rFonts w:ascii="仿宋" w:hAnsi="仿宋" w:eastAsia="仿宋" w:cs="仿宋"/>
          <w:spacing w:val="-1"/>
          <w:sz w:val="31"/>
          <w:szCs w:val="31"/>
        </w:rPr>
        <w:t>构成异常交易行为。</w:t>
      </w:r>
    </w:p>
    <w:p>
      <w:pPr>
        <w:spacing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做</w:t>
      </w:r>
      <w:r>
        <w:rPr>
          <w:rFonts w:ascii="仿宋" w:hAnsi="仿宋" w:eastAsia="仿宋" w:cs="仿宋"/>
          <w:spacing w:val="9"/>
          <w:sz w:val="31"/>
          <w:szCs w:val="31"/>
        </w:rPr>
        <w:t>市交易产生的频繁报撤单行为不构成异常交易行为。</w:t>
      </w:r>
    </w:p>
    <w:p>
      <w:pPr>
        <w:spacing w:before="187" w:line="334" w:lineRule="auto"/>
        <w:ind w:left="38" w:right="10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除上述情形外，实施申报费的合约上，符合交易所规</w:t>
      </w:r>
      <w:r>
        <w:rPr>
          <w:rFonts w:ascii="仿宋" w:hAnsi="仿宋" w:eastAsia="仿宋" w:cs="仿宋"/>
          <w:spacing w:val="5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情</w:t>
      </w:r>
      <w:r>
        <w:rPr>
          <w:rFonts w:ascii="仿宋" w:hAnsi="仿宋" w:eastAsia="仿宋" w:cs="仿宋"/>
          <w:spacing w:val="8"/>
          <w:sz w:val="31"/>
          <w:szCs w:val="31"/>
        </w:rPr>
        <w:t>形的频繁报撤单行为不构成异常交易行为。</w:t>
      </w:r>
    </w:p>
    <w:p>
      <w:pPr>
        <w:spacing w:before="4" w:line="333" w:lineRule="auto"/>
        <w:ind w:left="29" w:right="10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客户、非期货公司会员、境外特殊非经纪参与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者</w:t>
      </w:r>
      <w:r>
        <w:rPr>
          <w:rFonts w:ascii="仿宋" w:hAnsi="仿宋" w:eastAsia="仿宋" w:cs="仿宋"/>
          <w:spacing w:val="21"/>
          <w:sz w:val="31"/>
          <w:szCs w:val="31"/>
        </w:rPr>
        <w:t>或者一组实际控制关系账户单个交易日在两个以上期货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合约或者期权合约上因自成交、频繁报撤单、大额报撤单</w:t>
      </w:r>
      <w:r>
        <w:rPr>
          <w:rFonts w:ascii="仿宋" w:hAnsi="仿宋" w:eastAsia="仿宋" w:cs="仿宋"/>
          <w:spacing w:val="6"/>
          <w:sz w:val="31"/>
          <w:szCs w:val="31"/>
        </w:rPr>
        <w:t>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到交</w:t>
      </w:r>
      <w:r>
        <w:rPr>
          <w:rFonts w:ascii="仿宋" w:hAnsi="仿宋" w:eastAsia="仿宋" w:cs="仿宋"/>
          <w:spacing w:val="12"/>
          <w:sz w:val="31"/>
          <w:szCs w:val="31"/>
        </w:rPr>
        <w:t>易</w:t>
      </w:r>
      <w:r>
        <w:rPr>
          <w:rFonts w:ascii="仿宋" w:hAnsi="仿宋" w:eastAsia="仿宋" w:cs="仿宋"/>
          <w:spacing w:val="8"/>
          <w:sz w:val="31"/>
          <w:szCs w:val="31"/>
        </w:rPr>
        <w:t>所处理标准的，同一种异常交易行为按照发生一次认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定。</w:t>
      </w:r>
    </w:p>
    <w:p>
      <w:pPr>
        <w:spacing w:line="333" w:lineRule="auto"/>
        <w:ind w:left="34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交</w:t>
      </w:r>
      <w:r>
        <w:rPr>
          <w:rFonts w:ascii="仿宋" w:hAnsi="仿宋" w:eastAsia="仿宋" w:cs="仿宋"/>
          <w:spacing w:val="8"/>
          <w:sz w:val="31"/>
          <w:szCs w:val="31"/>
        </w:rPr>
        <w:t>易所对期货、期权合约上的自成交、频繁报撤单、大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额</w:t>
      </w:r>
      <w:r>
        <w:rPr>
          <w:rFonts w:ascii="仿宋" w:hAnsi="仿宋" w:eastAsia="仿宋" w:cs="仿宋"/>
          <w:spacing w:val="10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撤单行为分别统计和处理。</w:t>
      </w:r>
    </w:p>
    <w:p>
      <w:pPr>
        <w:spacing w:before="3" w:line="333" w:lineRule="auto"/>
        <w:ind w:left="30" w:right="100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交易所对实际控制关系账户的自成交、频繁报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撤单、大额报撤单等异常交易行为合并计算，其处理标准</w:t>
      </w:r>
      <w:r>
        <w:rPr>
          <w:rFonts w:ascii="仿宋" w:hAnsi="仿宋" w:eastAsia="仿宋" w:cs="仿宋"/>
          <w:spacing w:val="4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客户、非期货公司会员、境外特殊非经纪参与者相同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39" w:lineRule="auto"/>
        <w:ind w:left="26" w:right="10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对于未达到交易所异常交易行为处理标准或者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未被认定为异常交易行为的自成交、频繁报撤单、大额报</w:t>
      </w:r>
      <w:r>
        <w:rPr>
          <w:rFonts w:ascii="仿宋" w:hAnsi="仿宋" w:eastAsia="仿宋" w:cs="仿宋"/>
          <w:spacing w:val="6"/>
          <w:sz w:val="31"/>
          <w:szCs w:val="31"/>
        </w:rPr>
        <w:t>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，若构成其他违规行为的，按照交易所有关规定处理。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01" w:line="227" w:lineRule="auto"/>
        <w:ind w:left="23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三章 异常交易行为处理</w:t>
      </w:r>
    </w:p>
    <w:p>
      <w:pPr>
        <w:spacing w:before="178" w:line="342" w:lineRule="auto"/>
        <w:ind w:left="3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出现本办法第五条所列异常交易行为之一的，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</w:t>
      </w:r>
      <w:r>
        <w:rPr>
          <w:rFonts w:ascii="仿宋" w:hAnsi="仿宋" w:eastAsia="仿宋" w:cs="仿宋"/>
          <w:spacing w:val="9"/>
          <w:sz w:val="31"/>
          <w:szCs w:val="31"/>
        </w:rPr>
        <w:t>易</w:t>
      </w:r>
      <w:r>
        <w:rPr>
          <w:rFonts w:ascii="仿宋" w:hAnsi="仿宋" w:eastAsia="仿宋" w:cs="仿宋"/>
          <w:spacing w:val="8"/>
          <w:sz w:val="31"/>
          <w:szCs w:val="31"/>
        </w:rPr>
        <w:t>所可以根据情节轻重采取下列自律管理措施：</w:t>
      </w:r>
    </w:p>
    <w:p>
      <w:pPr>
        <w:sectPr>
          <w:footerReference r:id="rId5" w:type="default"/>
          <w:pgSz w:w="11906" w:h="16839"/>
          <w:pgMar w:top="1431" w:right="1699" w:bottom="1305" w:left="1785" w:header="0" w:footer="973" w:gutter="0"/>
          <w:cols w:space="720" w:num="1"/>
        </w:sectPr>
      </w:pPr>
    </w:p>
    <w:p>
      <w:pPr>
        <w:spacing w:before="186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一 ) 电话提示；</w:t>
      </w:r>
    </w:p>
    <w:p>
      <w:pPr>
        <w:spacing w:before="186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二 ) 要求报告情况；</w:t>
      </w:r>
    </w:p>
    <w:p>
      <w:pPr>
        <w:spacing w:before="185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4"/>
          <w:sz w:val="31"/>
          <w:szCs w:val="31"/>
        </w:rPr>
        <w:t>三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) 列入重点监管名单；</w:t>
      </w:r>
    </w:p>
    <w:p>
      <w:pPr>
        <w:spacing w:before="190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四 ) 向会员、境外特殊经纪参与者通</w:t>
      </w:r>
      <w:r>
        <w:rPr>
          <w:rFonts w:ascii="仿宋" w:hAnsi="仿宋" w:eastAsia="仿宋" w:cs="仿宋"/>
          <w:sz w:val="31"/>
          <w:szCs w:val="31"/>
        </w:rPr>
        <w:t>报；</w:t>
      </w:r>
    </w:p>
    <w:p>
      <w:pPr>
        <w:spacing w:before="18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五 ) 约见谈话；</w:t>
      </w:r>
    </w:p>
    <w:p>
      <w:pPr>
        <w:spacing w:before="185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六 ) 限制开仓；</w:t>
      </w:r>
    </w:p>
    <w:p>
      <w:pPr>
        <w:spacing w:before="189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(七) 根据交易所业务规则可以采取的其他自律管理措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136" w:lineRule="exact"/>
        <w:ind w:left="368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-91440</wp:posOffset>
                </wp:positionV>
                <wp:extent cx="219710" cy="2654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-7.2pt;height:20.9pt;width:17.3pt;z-index:251661312;mso-width-relative:page;mso-height-relative:page;" filled="f" stroked="f" coordsize="21600,21600" o:gfxdata="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mjA3n1gAAAAYBAAAPAAAAAAAAAAEAIAAAACIAAABkcnMvZG93bnJldi54bWxQSwECFAAU&#10;AAAACACHTuJAvDVWtr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5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196" w:line="334" w:lineRule="auto"/>
        <w:ind w:left="1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被采</w:t>
      </w:r>
      <w:r>
        <w:rPr>
          <w:rFonts w:ascii="仿宋" w:hAnsi="仿宋" w:eastAsia="仿宋" w:cs="仿宋"/>
          <w:spacing w:val="6"/>
          <w:sz w:val="31"/>
          <w:szCs w:val="31"/>
        </w:rPr>
        <w:t>取限制开仓自律管理措施的客户、非期货公司会员、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境</w:t>
      </w:r>
      <w:r>
        <w:rPr>
          <w:rFonts w:ascii="仿宋" w:hAnsi="仿宋" w:eastAsia="仿宋" w:cs="仿宋"/>
          <w:spacing w:val="9"/>
          <w:sz w:val="31"/>
          <w:szCs w:val="31"/>
        </w:rPr>
        <w:t>外特殊非经纪参与者，交易所将向市场公布。</w:t>
      </w:r>
    </w:p>
    <w:p>
      <w:pPr>
        <w:spacing w:before="3" w:line="333" w:lineRule="auto"/>
        <w:ind w:left="37" w:right="158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出</w:t>
      </w:r>
      <w:r>
        <w:rPr>
          <w:rFonts w:ascii="仿宋" w:hAnsi="仿宋" w:eastAsia="仿宋" w:cs="仿宋"/>
          <w:spacing w:val="7"/>
          <w:sz w:val="31"/>
          <w:szCs w:val="31"/>
        </w:rPr>
        <w:t>现异常交易行为并涉嫌违规的，交易所同时按照《广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州期货交易所违</w:t>
      </w:r>
      <w:r>
        <w:rPr>
          <w:rFonts w:ascii="仿宋" w:hAnsi="仿宋" w:eastAsia="仿宋" w:cs="仿宋"/>
          <w:sz w:val="31"/>
          <w:szCs w:val="31"/>
        </w:rPr>
        <w:t xml:space="preserve">规违约处理办法》进行处理；涉嫌违反法律、 </w:t>
      </w: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15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或者规章的，交易所提请中国证监会进行立案调查。</w:t>
      </w:r>
    </w:p>
    <w:p>
      <w:pPr>
        <w:spacing w:before="2" w:line="333" w:lineRule="auto"/>
        <w:ind w:left="26" w:right="25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客户自成交、频繁报撤单、大额报撤单行为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达</w:t>
      </w:r>
      <w:r>
        <w:rPr>
          <w:rFonts w:ascii="仿宋" w:hAnsi="仿宋" w:eastAsia="仿宋" w:cs="仿宋"/>
          <w:spacing w:val="9"/>
          <w:sz w:val="31"/>
          <w:szCs w:val="31"/>
        </w:rPr>
        <w:t>到交易所处理标准的，交易所按照以下程序进行处理：</w:t>
      </w:r>
    </w:p>
    <w:p>
      <w:pPr>
        <w:spacing w:before="3" w:line="333" w:lineRule="auto"/>
        <w:ind w:left="30" w:right="25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一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第一次达到处理标准的，交易所于当日对客户所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在期</w:t>
      </w:r>
      <w:r>
        <w:rPr>
          <w:rFonts w:ascii="仿宋" w:hAnsi="仿宋" w:eastAsia="仿宋" w:cs="仿宋"/>
          <w:spacing w:val="11"/>
          <w:sz w:val="31"/>
          <w:szCs w:val="31"/>
        </w:rPr>
        <w:t>货</w:t>
      </w:r>
      <w:r>
        <w:rPr>
          <w:rFonts w:ascii="仿宋" w:hAnsi="仿宋" w:eastAsia="仿宋" w:cs="仿宋"/>
          <w:spacing w:val="8"/>
          <w:sz w:val="31"/>
          <w:szCs w:val="31"/>
        </w:rPr>
        <w:t>公司会员、境外特殊经纪参与者进行提示，要求其及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时将交易所提示转达客户，对客户进行教育、引导、劝阻</w:t>
      </w: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>止；</w:t>
      </w:r>
    </w:p>
    <w:p>
      <w:pPr>
        <w:spacing w:before="3" w:line="333" w:lineRule="auto"/>
        <w:ind w:left="32" w:right="25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二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第二次达到处理标准的，交易所将该客户列入重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点监</w:t>
      </w:r>
      <w:r>
        <w:rPr>
          <w:rFonts w:ascii="仿宋" w:hAnsi="仿宋" w:eastAsia="仿宋" w:cs="仿宋"/>
          <w:spacing w:val="11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名单，同时向客户所在期货公司会员、境外特殊经纪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参与者通报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</w:p>
    <w:p>
      <w:pPr>
        <w:spacing w:line="342" w:lineRule="auto"/>
        <w:ind w:left="23" w:right="25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三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第三次达到处理标准的，交易所于当日闭市后对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该</w:t>
      </w:r>
      <w:r>
        <w:rPr>
          <w:rFonts w:ascii="仿宋" w:hAnsi="仿宋" w:eastAsia="仿宋" w:cs="仿宋"/>
          <w:spacing w:val="9"/>
          <w:sz w:val="31"/>
          <w:szCs w:val="31"/>
        </w:rPr>
        <w:t>客户采取限制开仓的自律管理措施，限制开仓的时间不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少</w:t>
      </w:r>
      <w:r>
        <w:rPr>
          <w:rFonts w:ascii="仿宋" w:hAnsi="仿宋" w:eastAsia="仿宋" w:cs="仿宋"/>
          <w:spacing w:val="-12"/>
          <w:sz w:val="31"/>
          <w:szCs w:val="31"/>
        </w:rPr>
        <w:t>于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>个月。</w:t>
      </w:r>
    </w:p>
    <w:p>
      <w:pPr>
        <w:spacing w:before="186" w:line="333" w:lineRule="auto"/>
        <w:ind w:left="34" w:right="16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非期货公司会员、境外特殊非经纪参与者自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成交、</w:t>
      </w:r>
      <w:r>
        <w:rPr>
          <w:rFonts w:ascii="仿宋" w:hAnsi="仿宋" w:eastAsia="仿宋" w:cs="仿宋"/>
          <w:sz w:val="31"/>
          <w:szCs w:val="31"/>
        </w:rPr>
        <w:t xml:space="preserve">频繁报撤单、大额报撤单行为达到交易所处理标准的， </w:t>
      </w:r>
      <w:r>
        <w:rPr>
          <w:rFonts w:ascii="仿宋" w:hAnsi="仿宋" w:eastAsia="仿宋" w:cs="仿宋"/>
          <w:spacing w:val="14"/>
          <w:sz w:val="31"/>
          <w:szCs w:val="31"/>
        </w:rPr>
        <w:t>交</w:t>
      </w:r>
      <w:r>
        <w:rPr>
          <w:rFonts w:ascii="仿宋" w:hAnsi="仿宋" w:eastAsia="仿宋" w:cs="仿宋"/>
          <w:spacing w:val="10"/>
          <w:sz w:val="31"/>
          <w:szCs w:val="31"/>
        </w:rPr>
        <w:t>易</w:t>
      </w:r>
      <w:r>
        <w:rPr>
          <w:rFonts w:ascii="仿宋" w:hAnsi="仿宋" w:eastAsia="仿宋" w:cs="仿宋"/>
          <w:spacing w:val="7"/>
          <w:sz w:val="31"/>
          <w:szCs w:val="31"/>
        </w:rPr>
        <w:t>所按照以下程序进行处理：</w:t>
      </w:r>
    </w:p>
    <w:p>
      <w:pPr>
        <w:spacing w:before="2" w:line="333" w:lineRule="auto"/>
        <w:ind w:left="31" w:right="24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一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第一次达到处理标准的，交易所对该非期货公司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会</w:t>
      </w:r>
      <w:r>
        <w:rPr>
          <w:rFonts w:ascii="仿宋" w:hAnsi="仿宋" w:eastAsia="仿宋" w:cs="仿宋"/>
          <w:spacing w:val="8"/>
          <w:sz w:val="31"/>
          <w:szCs w:val="31"/>
        </w:rPr>
        <w:t>员、境外特殊非经纪参与者进行提示；</w:t>
      </w:r>
    </w:p>
    <w:p>
      <w:pPr>
        <w:spacing w:line="333" w:lineRule="auto"/>
        <w:ind w:left="31" w:right="1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二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第二次达到处理标准的，交易所对该非期货公司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会员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境外特殊非经纪参与者的高级管理人员进行约见谈话；</w:t>
      </w:r>
    </w:p>
    <w:p>
      <w:pPr>
        <w:spacing w:before="2" w:line="333" w:lineRule="auto"/>
        <w:ind w:left="3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三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第三次达到处理标准的，交易所对该非期货公司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会员、境外特殊非经纪参与者采取限制开仓的自律管理措施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制开仓的时间不少于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个月。</w:t>
      </w:r>
    </w:p>
    <w:p>
      <w:pPr>
        <w:spacing w:before="2" w:line="333" w:lineRule="auto"/>
        <w:ind w:left="53" w:right="24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完全由客户构成的实际控制关系账户组出现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自成交、频繁报撤单、大额报撤单行为达到交易所处理标</w:t>
      </w:r>
      <w:r>
        <w:rPr>
          <w:rFonts w:ascii="仿宋" w:hAnsi="仿宋" w:eastAsia="仿宋" w:cs="仿宋"/>
          <w:spacing w:val="3"/>
          <w:sz w:val="31"/>
          <w:szCs w:val="31"/>
        </w:rPr>
        <w:t>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的，</w:t>
      </w:r>
      <w:r>
        <w:rPr>
          <w:rFonts w:ascii="仿宋" w:hAnsi="仿宋" w:eastAsia="仿宋" w:cs="仿宋"/>
          <w:spacing w:val="8"/>
          <w:sz w:val="31"/>
          <w:szCs w:val="31"/>
        </w:rPr>
        <w:t>交</w:t>
      </w:r>
      <w:r>
        <w:rPr>
          <w:rFonts w:ascii="仿宋" w:hAnsi="仿宋" w:eastAsia="仿宋" w:cs="仿宋"/>
          <w:spacing w:val="7"/>
          <w:sz w:val="31"/>
          <w:szCs w:val="31"/>
        </w:rPr>
        <w:t>易所按照本办法第十二条的规定进行处理。</w:t>
      </w:r>
    </w:p>
    <w:p>
      <w:pPr>
        <w:spacing w:before="5" w:line="333" w:lineRule="auto"/>
        <w:ind w:left="30" w:right="24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包</w:t>
      </w:r>
      <w:r>
        <w:rPr>
          <w:rFonts w:ascii="仿宋" w:hAnsi="仿宋" w:eastAsia="仿宋" w:cs="仿宋"/>
          <w:spacing w:val="23"/>
          <w:sz w:val="31"/>
          <w:szCs w:val="31"/>
        </w:rPr>
        <w:t>含非期货公司会员或者境外特殊非经纪参与者的实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际控制关系账户组出现自成交、频繁报撤单、大额报撤单</w:t>
      </w:r>
      <w:r>
        <w:rPr>
          <w:rFonts w:ascii="仿宋" w:hAnsi="仿宋" w:eastAsia="仿宋" w:cs="仿宋"/>
          <w:spacing w:val="4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为达</w:t>
      </w:r>
      <w:r>
        <w:rPr>
          <w:rFonts w:ascii="仿宋" w:hAnsi="仿宋" w:eastAsia="仿宋" w:cs="仿宋"/>
          <w:spacing w:val="11"/>
          <w:sz w:val="31"/>
          <w:szCs w:val="31"/>
        </w:rPr>
        <w:t>到</w:t>
      </w:r>
      <w:r>
        <w:rPr>
          <w:rFonts w:ascii="仿宋" w:hAnsi="仿宋" w:eastAsia="仿宋" w:cs="仿宋"/>
          <w:spacing w:val="8"/>
          <w:sz w:val="31"/>
          <w:szCs w:val="31"/>
        </w:rPr>
        <w:t>交易所处理标准的，交易所按照本办法第十三条的规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进行处理。</w:t>
      </w:r>
    </w:p>
    <w:p>
      <w:pPr>
        <w:spacing w:before="3" w:line="333" w:lineRule="auto"/>
        <w:ind w:left="26" w:right="24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客户自成交、频繁报撤单、大额报撤单行为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发生在两个以上期货公司会员、境外特殊经纪参与者的，</w:t>
      </w:r>
      <w:r>
        <w:rPr>
          <w:rFonts w:ascii="仿宋" w:hAnsi="仿宋" w:eastAsia="仿宋" w:cs="仿宋"/>
          <w:spacing w:val="6"/>
          <w:sz w:val="31"/>
          <w:szCs w:val="31"/>
        </w:rPr>
        <w:t>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易所根据异常交易行为的类别，分别选择自成交、频繁报</w:t>
      </w:r>
      <w:r>
        <w:rPr>
          <w:rFonts w:ascii="仿宋" w:hAnsi="仿宋" w:eastAsia="仿宋" w:cs="仿宋"/>
          <w:spacing w:val="6"/>
          <w:sz w:val="31"/>
          <w:szCs w:val="31"/>
        </w:rPr>
        <w:t>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单、大额报撤单行为发生次数最多的期货公司会员、境外</w:t>
      </w:r>
      <w:r>
        <w:rPr>
          <w:rFonts w:ascii="仿宋" w:hAnsi="仿宋" w:eastAsia="仿宋" w:cs="仿宋"/>
          <w:spacing w:val="8"/>
          <w:sz w:val="31"/>
          <w:szCs w:val="31"/>
        </w:rPr>
        <w:t>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殊经纪参与者进行提示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客户、非期货公司会员、境外特殊非经纪参</w:t>
      </w:r>
    </w:p>
    <w:p>
      <w:pPr>
        <w:sectPr>
          <w:footerReference r:id="rId6" w:type="default"/>
          <w:pgSz w:w="11906" w:h="16839"/>
          <w:pgMar w:top="1431" w:right="1557" w:bottom="1300" w:left="1785" w:header="0" w:footer="973" w:gutter="0"/>
          <w:cols w:space="720" w:num="1"/>
        </w:sectPr>
      </w:pPr>
    </w:p>
    <w:p>
      <w:pPr>
        <w:spacing w:before="185" w:line="333" w:lineRule="auto"/>
        <w:ind w:left="26" w:right="16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>者采用程序化方式交易的，应当在程序化交易前向交易所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行报备。</w:t>
      </w:r>
    </w:p>
    <w:p>
      <w:pPr>
        <w:spacing w:before="2" w:line="333" w:lineRule="auto"/>
        <w:ind w:left="40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交</w:t>
      </w:r>
      <w:r>
        <w:rPr>
          <w:rFonts w:ascii="仿宋" w:hAnsi="仿宋" w:eastAsia="仿宋" w:cs="仿宋"/>
          <w:spacing w:val="8"/>
          <w:sz w:val="31"/>
          <w:szCs w:val="31"/>
        </w:rPr>
        <w:t>易所发现客户、非期货公司会员、境外特殊非经纪参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</w:t>
      </w:r>
      <w:r>
        <w:rPr>
          <w:rFonts w:ascii="仿宋" w:hAnsi="仿宋" w:eastAsia="仿宋" w:cs="仿宋"/>
          <w:spacing w:val="12"/>
          <w:sz w:val="31"/>
          <w:szCs w:val="31"/>
        </w:rPr>
        <w:t>者</w:t>
      </w:r>
      <w:r>
        <w:rPr>
          <w:rFonts w:ascii="仿宋" w:hAnsi="仿宋" w:eastAsia="仿宋" w:cs="仿宋"/>
          <w:spacing w:val="8"/>
          <w:sz w:val="31"/>
          <w:szCs w:val="31"/>
        </w:rPr>
        <w:t>可能存在程序化交易的，可以要求其进行报备，有关要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</w:t>
      </w:r>
      <w:r>
        <w:rPr>
          <w:rFonts w:ascii="仿宋" w:hAnsi="仿宋" w:eastAsia="仿宋" w:cs="仿宋"/>
          <w:spacing w:val="6"/>
          <w:sz w:val="31"/>
          <w:szCs w:val="31"/>
        </w:rPr>
        <w:t>由交易所另行通知。</w:t>
      </w:r>
    </w:p>
    <w:p>
      <w:pPr>
        <w:spacing w:line="338" w:lineRule="auto"/>
        <w:ind w:left="36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客户、非期货公司会员、境外特殊非经纪参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</w:t>
      </w:r>
      <w:r>
        <w:rPr>
          <w:rFonts w:ascii="仿宋" w:hAnsi="仿宋" w:eastAsia="仿宋" w:cs="仿宋"/>
          <w:spacing w:val="13"/>
          <w:sz w:val="31"/>
          <w:szCs w:val="31"/>
        </w:rPr>
        <w:t>者</w:t>
      </w:r>
      <w:r>
        <w:rPr>
          <w:rFonts w:ascii="仿宋" w:hAnsi="仿宋" w:eastAsia="仿宋" w:cs="仿宋"/>
          <w:spacing w:val="8"/>
          <w:sz w:val="31"/>
          <w:szCs w:val="31"/>
        </w:rPr>
        <w:t>采取程序化交易方式下达交易指令，可能影响交易所系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统</w:t>
      </w:r>
      <w:r>
        <w:rPr>
          <w:rFonts w:ascii="仿宋" w:hAnsi="仿宋" w:eastAsia="仿宋" w:cs="仿宋"/>
          <w:spacing w:val="13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全或者正常交易秩序的，交易所可以采取约见谈话、限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制开仓等自律监管措施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1" w:line="226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四章 监督责任</w:t>
      </w:r>
    </w:p>
    <w:p>
      <w:pPr>
        <w:spacing w:before="179" w:line="334" w:lineRule="auto"/>
        <w:ind w:left="4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期货公司会员、境外特殊经纪参与者、境外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介机构应当密切关注客户的交易行为，积极防范客户在交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易</w:t>
      </w:r>
      <w:r>
        <w:rPr>
          <w:rFonts w:ascii="仿宋" w:hAnsi="仿宋" w:eastAsia="仿宋" w:cs="仿宋"/>
          <w:spacing w:val="8"/>
          <w:sz w:val="31"/>
          <w:szCs w:val="31"/>
        </w:rPr>
        <w:t>中可能出现的异常交易行为，引导客户理性、合规参与期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货</w:t>
      </w:r>
      <w:r>
        <w:rPr>
          <w:rFonts w:ascii="仿宋" w:hAnsi="仿宋" w:eastAsia="仿宋" w:cs="仿宋"/>
          <w:sz w:val="31"/>
          <w:szCs w:val="31"/>
        </w:rPr>
        <w:t>交易。</w:t>
      </w:r>
    </w:p>
    <w:p>
      <w:pPr>
        <w:spacing w:before="2" w:line="333" w:lineRule="auto"/>
        <w:ind w:left="26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期</w:t>
      </w:r>
      <w:r>
        <w:rPr>
          <w:rFonts w:ascii="仿宋" w:hAnsi="仿宋" w:eastAsia="仿宋" w:cs="仿宋"/>
          <w:spacing w:val="13"/>
          <w:sz w:val="31"/>
          <w:szCs w:val="31"/>
        </w:rPr>
        <w:t>货</w:t>
      </w:r>
      <w:r>
        <w:rPr>
          <w:rFonts w:ascii="仿宋" w:hAnsi="仿宋" w:eastAsia="仿宋" w:cs="仿宋"/>
          <w:spacing w:val="8"/>
          <w:sz w:val="31"/>
          <w:szCs w:val="31"/>
        </w:rPr>
        <w:t>公司会员、境外特殊经纪参与者、境外中介机构发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现</w:t>
      </w:r>
      <w:r>
        <w:rPr>
          <w:rFonts w:ascii="仿宋" w:hAnsi="仿宋" w:eastAsia="仿宋" w:cs="仿宋"/>
          <w:spacing w:val="21"/>
          <w:sz w:val="31"/>
          <w:szCs w:val="31"/>
        </w:rPr>
        <w:t>客户在期货交易过程中出现本办法第五条所列异常交易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行为之一的，应当及时予以提醒、劝阻和制止，并及时向</w:t>
      </w:r>
      <w:r>
        <w:rPr>
          <w:rFonts w:ascii="仿宋" w:hAnsi="仿宋" w:eastAsia="仿宋" w:cs="仿宋"/>
          <w:spacing w:val="6"/>
          <w:sz w:val="31"/>
          <w:szCs w:val="31"/>
        </w:rPr>
        <w:t>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易</w:t>
      </w:r>
      <w:r>
        <w:rPr>
          <w:rFonts w:ascii="仿宋" w:hAnsi="仿宋" w:eastAsia="仿宋" w:cs="仿宋"/>
          <w:spacing w:val="5"/>
          <w:sz w:val="31"/>
          <w:szCs w:val="31"/>
        </w:rPr>
        <w:t>所报告。</w:t>
      </w:r>
    </w:p>
    <w:p>
      <w:pPr>
        <w:spacing w:before="3" w:line="333" w:lineRule="auto"/>
        <w:ind w:left="34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十九条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交易所对存在异常交易行为的客户采取有关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自</w:t>
      </w:r>
      <w:r>
        <w:rPr>
          <w:rFonts w:ascii="仿宋" w:hAnsi="仿宋" w:eastAsia="仿宋" w:cs="仿宋"/>
          <w:spacing w:val="15"/>
          <w:sz w:val="31"/>
          <w:szCs w:val="31"/>
        </w:rPr>
        <w:t>律</w:t>
      </w:r>
      <w:r>
        <w:rPr>
          <w:rFonts w:ascii="仿宋" w:hAnsi="仿宋" w:eastAsia="仿宋" w:cs="仿宋"/>
          <w:spacing w:val="8"/>
          <w:sz w:val="31"/>
          <w:szCs w:val="31"/>
        </w:rPr>
        <w:t>管理措施的，期货公司会员、境外特殊经纪参与者、境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外中</w:t>
      </w:r>
      <w:r>
        <w:rPr>
          <w:rFonts w:ascii="仿宋" w:hAnsi="仿宋" w:eastAsia="仿宋" w:cs="仿宋"/>
          <w:spacing w:val="10"/>
          <w:sz w:val="31"/>
          <w:szCs w:val="31"/>
        </w:rPr>
        <w:t>介</w:t>
      </w:r>
      <w:r>
        <w:rPr>
          <w:rFonts w:ascii="仿宋" w:hAnsi="仿宋" w:eastAsia="仿宋" w:cs="仿宋"/>
          <w:spacing w:val="8"/>
          <w:sz w:val="31"/>
          <w:szCs w:val="31"/>
        </w:rPr>
        <w:t>机构应当及时通知相关客户，保留有关证据，并采取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效</w:t>
      </w:r>
      <w:r>
        <w:rPr>
          <w:rFonts w:ascii="仿宋" w:hAnsi="仿宋" w:eastAsia="仿宋" w:cs="仿宋"/>
          <w:spacing w:val="7"/>
          <w:sz w:val="31"/>
          <w:szCs w:val="31"/>
        </w:rPr>
        <w:t>措施规范客户交易行为。</w:t>
      </w:r>
    </w:p>
    <w:p>
      <w:pPr>
        <w:spacing w:before="1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期货公司会员、境外特殊经纪参与者、境外</w:t>
      </w:r>
    </w:p>
    <w:p>
      <w:pPr>
        <w:sectPr>
          <w:footerReference r:id="rId7" w:type="default"/>
          <w:pgSz w:w="11906" w:h="16839"/>
          <w:pgMar w:top="1431" w:right="1785" w:bottom="1305" w:left="1785" w:header="0" w:footer="973" w:gutter="0"/>
          <w:cols w:space="720" w:num="1"/>
        </w:sectPr>
      </w:pPr>
    </w:p>
    <w:p>
      <w:pPr>
        <w:spacing w:before="188" w:line="333" w:lineRule="auto"/>
        <w:ind w:left="30" w:right="255" w:firstLine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中</w:t>
      </w:r>
      <w:r>
        <w:rPr>
          <w:rFonts w:ascii="仿宋" w:hAnsi="仿宋" w:eastAsia="仿宋" w:cs="仿宋"/>
          <w:spacing w:val="12"/>
          <w:sz w:val="31"/>
          <w:szCs w:val="31"/>
        </w:rPr>
        <w:t>介</w:t>
      </w:r>
      <w:r>
        <w:rPr>
          <w:rFonts w:ascii="仿宋" w:hAnsi="仿宋" w:eastAsia="仿宋" w:cs="仿宋"/>
          <w:spacing w:val="7"/>
          <w:sz w:val="31"/>
          <w:szCs w:val="31"/>
        </w:rPr>
        <w:t>机构具有下列情形之一的，交易所可以责令其整改，采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取电</w:t>
      </w:r>
      <w:r>
        <w:rPr>
          <w:rFonts w:ascii="仿宋" w:hAnsi="仿宋" w:eastAsia="仿宋" w:cs="仿宋"/>
          <w:spacing w:val="11"/>
          <w:sz w:val="31"/>
          <w:szCs w:val="31"/>
        </w:rPr>
        <w:t>话</w:t>
      </w:r>
      <w:r>
        <w:rPr>
          <w:rFonts w:ascii="仿宋" w:hAnsi="仿宋" w:eastAsia="仿宋" w:cs="仿宋"/>
          <w:spacing w:val="8"/>
          <w:sz w:val="31"/>
          <w:szCs w:val="31"/>
        </w:rPr>
        <w:t>提示、约见谈话、发出监管警示函、发出监管意见函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</w:t>
      </w:r>
      <w:r>
        <w:rPr>
          <w:rFonts w:ascii="仿宋" w:hAnsi="仿宋" w:eastAsia="仿宋" w:cs="仿宋"/>
          <w:spacing w:val="6"/>
          <w:sz w:val="31"/>
          <w:szCs w:val="31"/>
        </w:rPr>
        <w:t>自律管理措施：</w:t>
      </w:r>
    </w:p>
    <w:p>
      <w:pPr>
        <w:spacing w:line="333" w:lineRule="auto"/>
        <w:ind w:left="22" w:right="25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一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未及时、准确地向客户传达、送达交易所有关自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律</w:t>
      </w:r>
      <w:r>
        <w:rPr>
          <w:rFonts w:ascii="仿宋" w:hAnsi="仿宋" w:eastAsia="仿宋" w:cs="仿宋"/>
          <w:spacing w:val="6"/>
          <w:sz w:val="31"/>
          <w:szCs w:val="31"/>
        </w:rPr>
        <w:t>管理措施；</w:t>
      </w:r>
    </w:p>
    <w:p>
      <w:pPr>
        <w:spacing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二 ) 未采取有效措施制</w:t>
      </w:r>
      <w:r>
        <w:rPr>
          <w:rFonts w:ascii="仿宋" w:hAnsi="仿宋" w:eastAsia="仿宋" w:cs="仿宋"/>
          <w:spacing w:val="1"/>
          <w:sz w:val="31"/>
          <w:szCs w:val="31"/>
        </w:rPr>
        <w:t>止客户异常交易行为；</w:t>
      </w:r>
    </w:p>
    <w:p>
      <w:pPr>
        <w:spacing w:before="190" w:line="333" w:lineRule="auto"/>
        <w:ind w:left="26" w:right="25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三 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未按照交易所要求尽责对涉嫌违法违规行为协助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调查或者存在故意拖延、隐瞒和遗漏等行为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</w:p>
    <w:p>
      <w:pPr>
        <w:spacing w:before="1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 纵容、诱导、怂恿、支持客户进行异常交易；</w:t>
      </w:r>
    </w:p>
    <w:p>
      <w:pPr>
        <w:spacing w:before="185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五 ) 交易所认定的其他情</w:t>
      </w:r>
      <w:r>
        <w:rPr>
          <w:rFonts w:ascii="仿宋" w:hAnsi="仿宋" w:eastAsia="仿宋" w:cs="仿宋"/>
          <w:spacing w:val="-1"/>
          <w:sz w:val="31"/>
          <w:szCs w:val="31"/>
        </w:rPr>
        <w:t>形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83" w:line="334" w:lineRule="auto"/>
        <w:ind w:left="1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期货公司会员、境外特殊经纪参与者、境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外中介机构未尽到相关义务，交易所已向同一期货公司会员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境外特殊经纪参与者、境外中介机构发出两次监管警示函的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spacing w:val="9"/>
          <w:sz w:val="31"/>
          <w:szCs w:val="31"/>
        </w:rPr>
        <w:t>三次将对该期货公司会员、境外特殊经纪参与者、境外中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介</w:t>
      </w:r>
      <w:r>
        <w:rPr>
          <w:rFonts w:ascii="仿宋" w:hAnsi="仿宋" w:eastAsia="仿宋" w:cs="仿宋"/>
          <w:spacing w:val="8"/>
          <w:sz w:val="31"/>
          <w:szCs w:val="31"/>
        </w:rPr>
        <w:t>机构发出监管意见函。</w:t>
      </w:r>
    </w:p>
    <w:p>
      <w:pPr>
        <w:spacing w:before="2" w:line="341" w:lineRule="auto"/>
        <w:ind w:left="26" w:right="9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涉嫌违规的，按照《广州</w:t>
      </w:r>
      <w:r>
        <w:rPr>
          <w:rFonts w:ascii="仿宋" w:hAnsi="仿宋" w:eastAsia="仿宋" w:cs="仿宋"/>
          <w:spacing w:val="1"/>
          <w:sz w:val="31"/>
          <w:szCs w:val="31"/>
        </w:rPr>
        <w:t>期货交易所违规违约处理办法》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行处理。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2" w:line="227" w:lineRule="auto"/>
        <w:ind w:left="3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五章 附则</w:t>
      </w:r>
    </w:p>
    <w:p>
      <w:pPr>
        <w:spacing w:before="178" w:line="334" w:lineRule="auto"/>
        <w:ind w:left="34" w:right="25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二十二条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本办法所称期货交易包括以期货合约和期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权</w:t>
      </w:r>
      <w:r>
        <w:rPr>
          <w:rFonts w:ascii="仿宋" w:hAnsi="仿宋" w:eastAsia="仿宋" w:cs="仿宋"/>
          <w:spacing w:val="10"/>
          <w:sz w:val="31"/>
          <w:szCs w:val="31"/>
        </w:rPr>
        <w:t>合</w:t>
      </w:r>
      <w:r>
        <w:rPr>
          <w:rFonts w:ascii="仿宋" w:hAnsi="仿宋" w:eastAsia="仿宋" w:cs="仿宋"/>
          <w:spacing w:val="7"/>
          <w:sz w:val="31"/>
          <w:szCs w:val="31"/>
        </w:rPr>
        <w:t>约为交易标的的交易活动。</w:t>
      </w:r>
    </w:p>
    <w:p>
      <w:pPr>
        <w:spacing w:line="221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本办法所称 “</w:t>
      </w:r>
      <w:r>
        <w:rPr>
          <w:rFonts w:ascii="仿宋" w:hAnsi="仿宋" w:eastAsia="仿宋" w:cs="仿宋"/>
          <w:sz w:val="31"/>
          <w:szCs w:val="31"/>
        </w:rPr>
        <w:t>以上”均包含本数。</w:t>
      </w:r>
    </w:p>
    <w:p>
      <w:pPr>
        <w:spacing w:before="185" w:line="333" w:lineRule="auto"/>
        <w:ind w:left="27" w:right="16" w:firstLine="655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本办法规定的异常交易次数、 自律管理措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</w:t>
      </w:r>
      <w:r>
        <w:rPr>
          <w:rFonts w:ascii="仿宋" w:hAnsi="仿宋" w:eastAsia="仿宋" w:cs="仿宋"/>
          <w:spacing w:val="10"/>
          <w:sz w:val="31"/>
          <w:szCs w:val="31"/>
        </w:rPr>
        <w:t>次</w:t>
      </w:r>
      <w:r>
        <w:rPr>
          <w:rFonts w:ascii="仿宋" w:hAnsi="仿宋" w:eastAsia="仿宋" w:cs="仿宋"/>
          <w:spacing w:val="8"/>
          <w:sz w:val="31"/>
          <w:szCs w:val="31"/>
        </w:rPr>
        <w:t>数以一个自然年度为期间进行统计</w:t>
      </w:r>
    </w:p>
    <w:p>
      <w:pPr>
        <w:spacing w:before="185" w:line="333" w:lineRule="auto"/>
        <w:ind w:left="27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本办法规定的申报费按照《广州期货交易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结算管理办法》等有关规定执行。</w:t>
      </w:r>
    </w:p>
    <w:p>
      <w:pPr>
        <w:spacing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二十六条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本办法解释权属于广州期货交易所。</w:t>
      </w:r>
    </w:p>
    <w:p>
      <w:pPr>
        <w:spacing w:before="188" w:line="220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本办法自公布之日起实施。</w:t>
      </w:r>
    </w:p>
    <w:p>
      <w:pPr>
        <w:spacing w:before="188" w:line="343" w:lineRule="auto"/>
        <w:ind w:left="27" w:right="256" w:firstLine="655"/>
        <w:sectPr>
          <w:footerReference r:id="rId8" w:type="default"/>
          <w:pgSz w:w="11906" w:h="16839"/>
          <w:pgMar w:top="1431" w:right="1546" w:bottom="1300" w:left="1785" w:header="0" w:footer="968" w:gutter="0"/>
          <w:cols w:space="720" w:num="1"/>
        </w:sectPr>
      </w:pPr>
    </w:p>
    <w:p>
      <w:pPr>
        <w:rPr>
          <w:rFonts w:ascii="黑体" w:hAnsi="黑体" w:eastAsia="黑体" w:cs="黑体"/>
          <w:spacing w:val="-22"/>
          <w:sz w:val="31"/>
          <w:szCs w:val="31"/>
        </w:rPr>
      </w:pPr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5" w:line="203" w:lineRule="auto"/>
        <w:ind w:left="16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《广州期货交易所异常交易行为管理办法》修订对照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tabs>
          <w:tab w:val="left" w:pos="3733"/>
        </w:tabs>
        <w:spacing w:before="12" w:line="200" w:lineRule="auto"/>
        <w:ind w:left="357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：双删除线为删除内容 ，加粗为新增内容)</w:t>
      </w:r>
    </w:p>
    <w:p/>
    <w:p/>
    <w:p>
      <w:pPr>
        <w:spacing w:line="187" w:lineRule="exact"/>
      </w:pPr>
    </w:p>
    <w:tbl>
      <w:tblPr>
        <w:tblStyle w:val="8"/>
        <w:tblW w:w="13526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6291"/>
        <w:gridCol w:w="62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0" w:type="dxa"/>
            <w:vAlign w:val="top"/>
          </w:tcPr>
          <w:p>
            <w:pPr>
              <w:spacing w:before="180" w:line="222" w:lineRule="auto"/>
              <w:ind w:left="1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6291" w:type="dxa"/>
            <w:vAlign w:val="top"/>
          </w:tcPr>
          <w:p>
            <w:pPr>
              <w:spacing w:before="180" w:line="223" w:lineRule="auto"/>
              <w:ind w:left="1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原条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文</w:t>
            </w:r>
          </w:p>
        </w:tc>
        <w:tc>
          <w:tcPr>
            <w:tcW w:w="6295" w:type="dxa"/>
            <w:vAlign w:val="top"/>
          </w:tcPr>
          <w:p>
            <w:pPr>
              <w:spacing w:before="180" w:line="222" w:lineRule="auto"/>
              <w:ind w:left="1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修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订后条文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</w:trPr>
        <w:tc>
          <w:tcPr>
            <w:tcW w:w="940" w:type="dxa"/>
            <w:vAlign w:val="top"/>
          </w:tcPr>
          <w:p>
            <w:pPr>
              <w:spacing w:before="231" w:line="192" w:lineRule="auto"/>
              <w:ind w:left="14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6291" w:type="dxa"/>
            <w:vAlign w:val="top"/>
          </w:tcPr>
          <w:p>
            <w:pPr>
              <w:spacing w:before="174" w:line="334" w:lineRule="auto"/>
              <w:ind w:left="125" w:right="105" w:hanging="9"/>
              <w:rPr>
                <w:rFonts w:ascii="仿宋" w:hAnsi="仿宋" w:eastAsia="仿宋" w:cs="仿宋"/>
                <w:sz w:val="31"/>
                <w:szCs w:val="3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-3113405</wp:posOffset>
                      </wp:positionH>
                      <wp:positionV relativeFrom="topMargin">
                        <wp:posOffset>1645285</wp:posOffset>
                      </wp:positionV>
                      <wp:extent cx="201295" cy="9525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17" h="15">
                                    <a:moveTo>
                                      <a:pt x="0" y="7"/>
                                    </a:moveTo>
                                    <a:lnTo>
                                      <a:pt x="316" y="7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9.3pt;margin-top:129.8pt;height:0.75pt;width:15.85pt;mso-position-horizontal-relative:page;mso-position-vertical-relative:page;z-index:251659264;mso-width-relative:page;mso-height-relative:page;" filled="f" stroked="t" coordsize="317,15" o:gfxdata="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6vYXX2gAAAA0BAAAPAAAAAAAAAAEAIAAAACIAAABkcnMv&#10;ZG93bnJldi54bWxQSwECFAAUAAAACACHTuJAnjcPADoCAACTBAAADgAAAAAAAAABACAAAAApAQAA&#10;ZHJzL2Uyb0RvYy54bWxQSwUGAAAAAAYABgBZAQAA1QUAAAAA&#10;" path="m0,7l316,7e">
                      <v:fill on="f" focussize="0,0"/>
                      <v:stroke weight="0.72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spacing w:val="23"/>
                <w:sz w:val="31"/>
                <w:szCs w:val="31"/>
              </w:rPr>
              <w:t>第</w:t>
            </w:r>
            <w:r>
              <w:rPr>
                <w:rFonts w:ascii="黑体" w:hAnsi="黑体" w:eastAsia="黑体" w:cs="黑体"/>
                <w:spacing w:val="17"/>
                <w:sz w:val="31"/>
                <w:szCs w:val="31"/>
              </w:rPr>
              <w:t xml:space="preserve">七条 </w:t>
            </w:r>
            <w:r>
              <w:rPr>
                <w:rFonts w:ascii="仿宋" w:hAnsi="仿宋" w:eastAsia="仿宋" w:cs="仿宋"/>
                <w:spacing w:val="17"/>
                <w:sz w:val="31"/>
                <w:szCs w:val="31"/>
              </w:rPr>
              <w:t>套期保值交易产生的自成交、频繁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报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撤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单、大额报撤单行为不构成异常交易行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为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。</w:t>
            </w:r>
          </w:p>
          <w:p>
            <w:pPr>
              <w:tabs>
                <w:tab w:val="left" w:pos="262"/>
              </w:tabs>
              <w:spacing w:before="2" w:line="333" w:lineRule="auto"/>
              <w:ind w:left="103" w:right="105" w:firstLine="6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交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易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所的市价指令、止损 (盈) 指令、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31"/>
                <w:szCs w:val="31"/>
              </w:rPr>
              <w:t>套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利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指令</w:t>
            </w:r>
            <w:r>
              <w:rPr>
                <w:rFonts w:ascii="仿宋" w:hAnsi="仿宋" w:eastAsia="仿宋" w:cs="仿宋"/>
                <w:strike/>
                <w:spacing w:val="9"/>
                <w:sz w:val="31"/>
                <w:szCs w:val="31"/>
              </w:rPr>
              <w:t>、</w:t>
            </w:r>
            <w:r>
              <w:rPr>
                <w:rFonts w:ascii="仿宋" w:hAnsi="仿宋" w:eastAsia="仿宋" w:cs="仿宋"/>
                <w:strike/>
                <w:spacing w:val="9"/>
                <w:sz w:val="31"/>
                <w:szCs w:val="31"/>
                <w:u w:val="single" w:color="auto"/>
              </w:rPr>
              <w:t>附加立即全部成交否则自动撤销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trike/>
                <w:sz w:val="31"/>
                <w:szCs w:val="31"/>
                <w:u w:val="single" w:color="auto"/>
              </w:rPr>
              <w:tab/>
            </w:r>
            <w:r>
              <w:rPr>
                <w:rFonts w:ascii="仿宋" w:hAnsi="仿宋" w:eastAsia="仿宋" w:cs="仿宋"/>
                <w:strike/>
                <w:spacing w:val="-25"/>
                <w:sz w:val="31"/>
                <w:szCs w:val="31"/>
                <w:u w:val="single" w:color="auto"/>
              </w:rPr>
              <w:t>(</w:t>
            </w:r>
            <w:r>
              <w:rPr>
                <w:rFonts w:ascii="仿宋" w:hAnsi="仿宋" w:eastAsia="仿宋" w:cs="仿宋"/>
                <w:strike/>
                <w:spacing w:val="-13"/>
                <w:sz w:val="31"/>
                <w:szCs w:val="31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/>
                <w:spacing w:val="-13"/>
                <w:sz w:val="31"/>
                <w:szCs w:val="31"/>
                <w:u w:val="single" w:color="auto"/>
              </w:rPr>
              <w:t xml:space="preserve">FOK </w:t>
            </w:r>
            <w:r>
              <w:rPr>
                <w:rFonts w:ascii="仿宋" w:hAnsi="仿宋" w:eastAsia="仿宋" w:cs="仿宋"/>
                <w:strike/>
                <w:spacing w:val="-13"/>
                <w:sz w:val="31"/>
                <w:szCs w:val="31"/>
                <w:u w:val="single" w:color="auto"/>
              </w:rPr>
              <w:t>) 和 立 即 成 交剩余指令 自 动撤销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trike/>
                <w:sz w:val="31"/>
                <w:szCs w:val="31"/>
                <w:u w:val="single" w:color="auto"/>
              </w:rPr>
              <w:tab/>
            </w:r>
            <w:r>
              <w:rPr>
                <w:rFonts w:ascii="仿宋" w:hAnsi="仿宋" w:eastAsia="仿宋" w:cs="仿宋"/>
                <w:strike/>
                <w:spacing w:val="-4"/>
                <w:sz w:val="31"/>
                <w:szCs w:val="31"/>
                <w:u w:val="single" w:color="auto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trike/>
                <w:spacing w:val="-2"/>
                <w:sz w:val="31"/>
                <w:szCs w:val="31"/>
                <w:u w:val="single" w:color="auto"/>
              </w:rPr>
              <w:t xml:space="preserve">FAK </w:t>
            </w:r>
            <w:r>
              <w:rPr>
                <w:rFonts w:ascii="仿宋" w:hAnsi="仿宋" w:eastAsia="仿宋" w:cs="仿宋"/>
                <w:strike/>
                <w:spacing w:val="-2"/>
                <w:sz w:val="31"/>
                <w:szCs w:val="31"/>
                <w:u w:val="single" w:color="auto"/>
              </w:rPr>
              <w:t>) 属性的指令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产生的自成交、频繁报</w:t>
            </w:r>
          </w:p>
          <w:p>
            <w:pPr>
              <w:spacing w:line="221" w:lineRule="auto"/>
              <w:ind w:left="1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8"/>
                <w:sz w:val="31"/>
                <w:szCs w:val="31"/>
              </w:rPr>
              <w:t>撤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>单、大额报撤单行为不构成异常交易行</w:t>
            </w:r>
          </w:p>
        </w:tc>
        <w:tc>
          <w:tcPr>
            <w:tcW w:w="6295" w:type="dxa"/>
            <w:vAlign w:val="top"/>
          </w:tcPr>
          <w:p>
            <w:pPr>
              <w:spacing w:before="174" w:line="334" w:lineRule="auto"/>
              <w:ind w:left="127" w:right="107" w:hanging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3"/>
                <w:sz w:val="31"/>
                <w:szCs w:val="31"/>
              </w:rPr>
              <w:t>第</w:t>
            </w:r>
            <w:r>
              <w:rPr>
                <w:rFonts w:ascii="黑体" w:hAnsi="黑体" w:eastAsia="黑体" w:cs="黑体"/>
                <w:spacing w:val="17"/>
                <w:sz w:val="31"/>
                <w:szCs w:val="31"/>
              </w:rPr>
              <w:t xml:space="preserve">七条 </w:t>
            </w:r>
            <w:r>
              <w:rPr>
                <w:rFonts w:ascii="仿宋" w:hAnsi="仿宋" w:eastAsia="仿宋" w:cs="仿宋"/>
                <w:spacing w:val="17"/>
                <w:sz w:val="31"/>
                <w:szCs w:val="31"/>
              </w:rPr>
              <w:t>套期保值交易产生的自成交、频繁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报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撤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单、大额报撤单行为不构成异常交易行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为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。</w:t>
            </w:r>
          </w:p>
          <w:p>
            <w:pPr>
              <w:spacing w:before="2" w:line="333" w:lineRule="auto"/>
              <w:ind w:left="122" w:right="109" w:firstLine="6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交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易所的市价指令、止损 (盈) 指令、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套利指令产生的自成交、频繁报撤单、大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额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报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撤单行为不构成异常交易行为。</w:t>
            </w:r>
          </w:p>
          <w:p>
            <w:pPr>
              <w:spacing w:line="559" w:lineRule="exact"/>
              <w:ind w:left="7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0"/>
                <w:position w:val="18"/>
                <w:sz w:val="31"/>
                <w:szCs w:val="31"/>
              </w:rPr>
              <w:t>做</w:t>
            </w:r>
            <w:r>
              <w:rPr>
                <w:rFonts w:ascii="仿宋" w:hAnsi="仿宋" w:eastAsia="仿宋" w:cs="仿宋"/>
                <w:spacing w:val="29"/>
                <w:position w:val="18"/>
                <w:sz w:val="31"/>
                <w:szCs w:val="31"/>
              </w:rPr>
              <w:t>市交易产生的频繁报撤单行为不构</w:t>
            </w:r>
          </w:p>
          <w:p>
            <w:pPr>
              <w:spacing w:line="221" w:lineRule="auto"/>
              <w:ind w:left="1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成异常交易行为。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 w:orient="landscape"/>
          <w:pgMar w:top="1012" w:right="1653" w:bottom="0" w:left="146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8"/>
        <w:tblW w:w="13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6291"/>
        <w:gridCol w:w="62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-3923665</wp:posOffset>
                      </wp:positionH>
                      <wp:positionV relativeFrom="topMargin">
                        <wp:posOffset>102235</wp:posOffset>
                      </wp:positionV>
                      <wp:extent cx="213995" cy="2647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4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31"/>
                                      <w:szCs w:val="31"/>
                                    </w:rPr>
                                    <w:t>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5pt;margin-top:8.3pt;height:20.85pt;width:16.85pt;mso-position-horizontal-relative:page;mso-position-vertical-relative:page;z-index:251660288;mso-width-relative:page;mso-height-relative:page;" filled="f" stroked="f" coordsize="21600,21600" o:gfxdata="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id0ZHaAAAACwEAAA8AAAAAAAAAAQAgAAAAIgAAAGRycy9kb3ducmV2LnhtbFBL&#10;AQIUABQAAAAIAIdO4kAMp1qhuwEAAHEDAAAOAAAAAAAAAAEAIAAAACk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4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101" w:line="136" w:lineRule="exact"/>
              <w:ind w:left="4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2"/>
                <w:sz w:val="31"/>
                <w:szCs w:val="31"/>
              </w:rPr>
              <w:t>。</w:t>
            </w:r>
          </w:p>
          <w:p>
            <w:pPr>
              <w:spacing w:before="196" w:line="334" w:lineRule="auto"/>
              <w:ind w:left="124" w:right="107" w:firstLine="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trike/>
                <w:spacing w:val="28"/>
                <w:sz w:val="31"/>
                <w:szCs w:val="31"/>
                <w:u w:val="single" w:color="auto"/>
              </w:rPr>
              <w:t>实施申报费的合约上产生的频繁报</w:t>
            </w:r>
            <w:r>
              <w:rPr>
                <w:rFonts w:ascii="仿宋" w:hAnsi="仿宋" w:eastAsia="仿宋" w:cs="仿宋"/>
                <w:strike/>
                <w:spacing w:val="27"/>
                <w:sz w:val="31"/>
                <w:szCs w:val="31"/>
                <w:u w:val="single" w:color="auto"/>
              </w:rPr>
              <w:t>撤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trike/>
                <w:spacing w:val="8"/>
                <w:sz w:val="31"/>
                <w:szCs w:val="31"/>
                <w:u w:val="single" w:color="auto"/>
              </w:rPr>
              <w:t>单</w:t>
            </w:r>
            <w:r>
              <w:rPr>
                <w:rFonts w:ascii="仿宋" w:hAnsi="仿宋" w:eastAsia="仿宋" w:cs="仿宋"/>
                <w:strike/>
                <w:spacing w:val="6"/>
                <w:sz w:val="31"/>
                <w:szCs w:val="31"/>
                <w:u w:val="single" w:color="auto"/>
              </w:rPr>
              <w:t>行为不构成异常交易行为。</w:t>
            </w:r>
            <w:r>
              <w:rPr>
                <w:rFonts w:ascii="仿宋" w:hAnsi="仿宋" w:eastAsia="仿宋" w:cs="仿宋"/>
                <w:strike/>
                <w:sz w:val="31"/>
                <w:szCs w:val="31"/>
                <w:u w:val="single" w:color="auto"/>
              </w:rPr>
              <w:t xml:space="preserve"> </w:t>
            </w:r>
          </w:p>
          <w:p>
            <w:pPr>
              <w:spacing w:line="559" w:lineRule="exact"/>
              <w:ind w:left="7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0"/>
                <w:position w:val="18"/>
                <w:sz w:val="31"/>
                <w:szCs w:val="31"/>
              </w:rPr>
              <w:t>做</w:t>
            </w:r>
            <w:r>
              <w:rPr>
                <w:rFonts w:ascii="仿宋" w:hAnsi="仿宋" w:eastAsia="仿宋" w:cs="仿宋"/>
                <w:spacing w:val="29"/>
                <w:position w:val="18"/>
                <w:sz w:val="31"/>
                <w:szCs w:val="31"/>
              </w:rPr>
              <w:t>市交易产生的频繁报撤单行为不构</w:t>
            </w:r>
          </w:p>
          <w:p>
            <w:pPr>
              <w:spacing w:line="221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成异常交易行为。</w:t>
            </w:r>
          </w:p>
        </w:tc>
        <w:tc>
          <w:tcPr>
            <w:tcW w:w="6295" w:type="dxa"/>
            <w:vAlign w:val="top"/>
          </w:tcPr>
          <w:p>
            <w:pPr>
              <w:spacing w:before="181" w:line="339" w:lineRule="auto"/>
              <w:ind w:left="118" w:right="109" w:firstLine="6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除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述情形外，实施申报费的合约上，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合交易所规定情形的频繁报撤单行为不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成异常交易行为。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1"/>
        <w:sz w:val="28"/>
        <w:szCs w:val="28"/>
      </w:rPr>
      <w:t>—</w:t>
    </w:r>
    <w:r>
      <w:rPr>
        <w:rFonts w:ascii="微软雅黑" w:hAnsi="微软雅黑" w:eastAsia="微软雅黑" w:cs="微软雅黑"/>
        <w:spacing w:val="9"/>
        <w:sz w:val="28"/>
        <w:szCs w:val="28"/>
      </w:rPr>
      <w:t xml:space="preserve"> 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1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6"/>
        <w:sz w:val="28"/>
        <w:szCs w:val="28"/>
      </w:rPr>
      <w:t>—</w:t>
    </w:r>
    <w:r>
      <w:rPr>
        <w:rFonts w:ascii="微软雅黑" w:hAnsi="微软雅黑" w:eastAsia="微软雅黑" w:cs="微软雅黑"/>
        <w:spacing w:val="13"/>
        <w:sz w:val="28"/>
        <w:szCs w:val="28"/>
      </w:rPr>
      <w:t xml:space="preserve">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83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6"/>
        <w:sz w:val="28"/>
        <w:szCs w:val="28"/>
      </w:rPr>
      <w:t>—</w:t>
    </w:r>
    <w:r>
      <w:rPr>
        <w:rFonts w:ascii="微软雅黑" w:hAnsi="微软雅黑" w:eastAsia="微软雅黑" w:cs="微软雅黑"/>
        <w:spacing w:val="13"/>
        <w:sz w:val="28"/>
        <w:szCs w:val="28"/>
      </w:rPr>
      <w:t xml:space="preserve">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225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6"/>
        <w:sz w:val="28"/>
        <w:szCs w:val="28"/>
      </w:rPr>
      <w:t>—</w:t>
    </w:r>
    <w:r>
      <w:rPr>
        <w:rFonts w:ascii="微软雅黑" w:hAnsi="微软雅黑" w:eastAsia="微软雅黑" w:cs="微软雅黑"/>
        <w:spacing w:val="13"/>
        <w:sz w:val="28"/>
        <w:szCs w:val="28"/>
      </w:rPr>
      <w:t xml:space="preserve"> 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left="1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6"/>
        <w:sz w:val="28"/>
        <w:szCs w:val="28"/>
      </w:rPr>
      <w:t>—</w:t>
    </w:r>
    <w:r>
      <w:rPr>
        <w:rFonts w:ascii="微软雅黑" w:hAnsi="微软雅黑" w:eastAsia="微软雅黑" w:cs="微软雅黑"/>
        <w:spacing w:val="13"/>
        <w:sz w:val="28"/>
        <w:szCs w:val="28"/>
      </w:rPr>
      <w:t xml:space="preserve">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ind w:right="236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YxZDdiNzJiYTE4ZjQ2ODVkOWFhYThhNTJlMWUifQ=="/>
    <w:docVar w:name="KSO_WPS_MARK_KEY" w:val="6f709253-34ca-4620-aff4-9e23f1559b5b"/>
  </w:docVars>
  <w:rsids>
    <w:rsidRoot w:val="00000000"/>
    <w:rsid w:val="15B11180"/>
    <w:rsid w:val="1E3261FD"/>
    <w:rsid w:val="2F2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3810</Words>
  <Characters>3851</Characters>
  <Lines>0</Lines>
  <Paragraphs>0</Paragraphs>
  <TotalTime>1</TotalTime>
  <ScaleCrop>false</ScaleCrop>
  <LinksUpToDate>false</LinksUpToDate>
  <CharactersWithSpaces>4118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2024-07-22T00:46:00Z</dcterms:created>
  <dc:creator>Admin</dc:creator>
  <cp:lastModifiedBy>于潞雯</cp:lastModifiedBy>
  <dcterms:modified xsi:type="dcterms:W3CDTF">2024-07-23T01:14:39Z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26CD129DE86741F3BD150ECD2EEA25C0_12</vt:lpwstr>
  </property>
</Properties>
</file>