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37954" w14:textId="77777777" w:rsidR="00B87280" w:rsidRDefault="00B87280" w:rsidP="00A902F2">
      <w:pPr>
        <w:jc w:val="center"/>
        <w:rPr>
          <w:b/>
          <w:bCs/>
          <w:sz w:val="36"/>
          <w:szCs w:val="36"/>
        </w:rPr>
      </w:pPr>
      <w:r w:rsidRPr="00B87280">
        <w:rPr>
          <w:rFonts w:hint="eastAsia"/>
          <w:b/>
          <w:bCs/>
          <w:sz w:val="36"/>
          <w:szCs w:val="36"/>
        </w:rPr>
        <w:t>关于</w:t>
      </w:r>
      <w:proofErr w:type="gramStart"/>
      <w:r w:rsidRPr="00B87280">
        <w:rPr>
          <w:rFonts w:hint="eastAsia"/>
          <w:b/>
          <w:bCs/>
          <w:sz w:val="36"/>
          <w:szCs w:val="36"/>
        </w:rPr>
        <w:t>对瓶片期货</w:t>
      </w:r>
      <w:proofErr w:type="gramEnd"/>
      <w:r w:rsidRPr="00B87280">
        <w:rPr>
          <w:rFonts w:hint="eastAsia"/>
          <w:b/>
          <w:bCs/>
          <w:sz w:val="36"/>
          <w:szCs w:val="36"/>
        </w:rPr>
        <w:t>交易收取申报费的通知</w:t>
      </w:r>
    </w:p>
    <w:p w14:paraId="34A1BC84" w14:textId="77777777" w:rsidR="00B87280" w:rsidRPr="00B87280" w:rsidRDefault="00B87280" w:rsidP="00B87280">
      <w:pPr>
        <w:jc w:val="center"/>
        <w:rPr>
          <w:sz w:val="28"/>
          <w:szCs w:val="28"/>
        </w:rPr>
      </w:pPr>
      <w:r w:rsidRPr="00B87280">
        <w:rPr>
          <w:rFonts w:hint="eastAsia"/>
          <w:sz w:val="28"/>
          <w:szCs w:val="28"/>
        </w:rPr>
        <w:t>郑商函〔2024〕559号</w:t>
      </w:r>
    </w:p>
    <w:p w14:paraId="3BC9ED31" w14:textId="649753B0" w:rsidR="00B87280" w:rsidRPr="00B87280" w:rsidRDefault="00B87280" w:rsidP="00B87280">
      <w:pPr>
        <w:jc w:val="left"/>
        <w:rPr>
          <w:rFonts w:hint="eastAsia"/>
          <w:sz w:val="28"/>
          <w:szCs w:val="28"/>
        </w:rPr>
      </w:pPr>
    </w:p>
    <w:p w14:paraId="4C9D5774" w14:textId="77777777" w:rsidR="00B87280" w:rsidRPr="00B87280" w:rsidRDefault="00B87280" w:rsidP="00B87280">
      <w:pPr>
        <w:jc w:val="left"/>
        <w:rPr>
          <w:rFonts w:hint="eastAsia"/>
          <w:sz w:val="28"/>
          <w:szCs w:val="28"/>
        </w:rPr>
      </w:pPr>
      <w:r w:rsidRPr="00B87280">
        <w:rPr>
          <w:rFonts w:hint="eastAsia"/>
          <w:sz w:val="28"/>
          <w:szCs w:val="28"/>
        </w:rPr>
        <w:t>各会员单位：</w:t>
      </w:r>
    </w:p>
    <w:p w14:paraId="4B30D123" w14:textId="77777777" w:rsidR="00B87280" w:rsidRPr="00B87280" w:rsidRDefault="00B87280" w:rsidP="00B87280">
      <w:pPr>
        <w:ind w:firstLineChars="200" w:firstLine="560"/>
        <w:jc w:val="left"/>
        <w:rPr>
          <w:rFonts w:hint="eastAsia"/>
          <w:sz w:val="28"/>
          <w:szCs w:val="28"/>
        </w:rPr>
      </w:pPr>
      <w:r w:rsidRPr="00B87280">
        <w:rPr>
          <w:rFonts w:hint="eastAsia"/>
          <w:sz w:val="28"/>
          <w:szCs w:val="28"/>
        </w:rPr>
        <w:t>根据《郑州商品交易所期货结算管理办法》第二十七条规定，经研究决定，自</w:t>
      </w:r>
      <w:proofErr w:type="gramStart"/>
      <w:r w:rsidRPr="00B87280">
        <w:rPr>
          <w:sz w:val="28"/>
          <w:szCs w:val="28"/>
        </w:rPr>
        <w:t>202</w:t>
      </w:r>
      <w:r w:rsidRPr="00B87280">
        <w:rPr>
          <w:rFonts w:hint="eastAsia"/>
          <w:sz w:val="28"/>
          <w:szCs w:val="28"/>
        </w:rPr>
        <w:t>4年10月24日当晚夜盘交易</w:t>
      </w:r>
      <w:proofErr w:type="gramEnd"/>
      <w:r w:rsidRPr="00B87280">
        <w:rPr>
          <w:rFonts w:hint="eastAsia"/>
          <w:sz w:val="28"/>
          <w:szCs w:val="28"/>
        </w:rPr>
        <w:t>时起，</w:t>
      </w:r>
      <w:proofErr w:type="gramStart"/>
      <w:r w:rsidRPr="00B87280">
        <w:rPr>
          <w:rFonts w:hint="eastAsia"/>
          <w:sz w:val="28"/>
          <w:szCs w:val="28"/>
        </w:rPr>
        <w:t>对瓶片期货</w:t>
      </w:r>
      <w:proofErr w:type="gramEnd"/>
      <w:r w:rsidRPr="00B87280">
        <w:rPr>
          <w:rFonts w:hint="eastAsia"/>
          <w:sz w:val="28"/>
          <w:szCs w:val="28"/>
        </w:rPr>
        <w:t>交易收取申报费，具体如下：</w:t>
      </w:r>
    </w:p>
    <w:tbl>
      <w:tblPr>
        <w:tblW w:w="8584" w:type="dxa"/>
        <w:jc w:val="center"/>
        <w:tblCellMar>
          <w:top w:w="15" w:type="dxa"/>
          <w:left w:w="15" w:type="dxa"/>
          <w:bottom w:w="15" w:type="dxa"/>
          <w:right w:w="15" w:type="dxa"/>
        </w:tblCellMar>
        <w:tblLook w:val="04A0" w:firstRow="1" w:lastRow="0" w:firstColumn="1" w:lastColumn="0" w:noHBand="0" w:noVBand="1"/>
      </w:tblPr>
      <w:tblGrid>
        <w:gridCol w:w="2258"/>
        <w:gridCol w:w="3563"/>
        <w:gridCol w:w="1500"/>
        <w:gridCol w:w="1263"/>
      </w:tblGrid>
      <w:tr w:rsidR="00B87280" w:rsidRPr="00B87280" w14:paraId="21E4ECAD" w14:textId="77777777" w:rsidTr="00B87280">
        <w:trPr>
          <w:trHeight w:val="199"/>
          <w:jc w:val="center"/>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D3F6F2" w14:textId="77777777" w:rsidR="00B87280" w:rsidRPr="00B87280" w:rsidRDefault="00B87280" w:rsidP="00B87280">
            <w:pPr>
              <w:jc w:val="left"/>
              <w:rPr>
                <w:rFonts w:hint="eastAsia"/>
                <w:sz w:val="28"/>
                <w:szCs w:val="28"/>
              </w:rPr>
            </w:pPr>
            <w:r w:rsidRPr="00B87280">
              <w:rPr>
                <w:rFonts w:hint="eastAsia"/>
                <w:b/>
                <w:bCs/>
                <w:sz w:val="28"/>
                <w:szCs w:val="28"/>
              </w:rPr>
              <w:t>品种</w:t>
            </w:r>
          </w:p>
        </w:tc>
        <w:tc>
          <w:tcPr>
            <w:tcW w:w="356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B5637B" w14:textId="77777777" w:rsidR="00B87280" w:rsidRPr="00B87280" w:rsidRDefault="00B87280" w:rsidP="00B87280">
            <w:pPr>
              <w:jc w:val="left"/>
              <w:rPr>
                <w:sz w:val="28"/>
                <w:szCs w:val="28"/>
              </w:rPr>
            </w:pPr>
            <w:r w:rsidRPr="00B87280">
              <w:rPr>
                <w:rFonts w:hint="eastAsia"/>
                <w:b/>
                <w:bCs/>
                <w:sz w:val="28"/>
                <w:szCs w:val="28"/>
              </w:rPr>
              <w:t>信息量</w:t>
            </w:r>
          </w:p>
        </w:tc>
        <w:tc>
          <w:tcPr>
            <w:tcW w:w="150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B616AF" w14:textId="77777777" w:rsidR="00B87280" w:rsidRPr="00B87280" w:rsidRDefault="00B87280" w:rsidP="00B87280">
            <w:pPr>
              <w:jc w:val="left"/>
              <w:rPr>
                <w:sz w:val="28"/>
                <w:szCs w:val="28"/>
              </w:rPr>
            </w:pPr>
            <w:r w:rsidRPr="00B87280">
              <w:rPr>
                <w:rFonts w:hint="eastAsia"/>
                <w:b/>
                <w:bCs/>
                <w:sz w:val="28"/>
                <w:szCs w:val="28"/>
              </w:rPr>
              <w:t>OTR≤2</w:t>
            </w:r>
          </w:p>
        </w:tc>
        <w:tc>
          <w:tcPr>
            <w:tcW w:w="126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9912FD6" w14:textId="77777777" w:rsidR="00B87280" w:rsidRPr="00B87280" w:rsidRDefault="00B87280" w:rsidP="00B87280">
            <w:pPr>
              <w:jc w:val="left"/>
              <w:rPr>
                <w:sz w:val="28"/>
                <w:szCs w:val="28"/>
              </w:rPr>
            </w:pPr>
            <w:r w:rsidRPr="00B87280">
              <w:rPr>
                <w:rFonts w:hint="eastAsia"/>
                <w:b/>
                <w:bCs/>
                <w:sz w:val="28"/>
                <w:szCs w:val="28"/>
              </w:rPr>
              <w:t>OTR＞2</w:t>
            </w:r>
          </w:p>
        </w:tc>
      </w:tr>
      <w:tr w:rsidR="00B87280" w:rsidRPr="00B87280" w14:paraId="301E9A4F" w14:textId="77777777" w:rsidTr="00B87280">
        <w:trPr>
          <w:trHeight w:val="567"/>
          <w:jc w:val="center"/>
        </w:trPr>
        <w:tc>
          <w:tcPr>
            <w:tcW w:w="2258"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586AB5" w14:textId="77777777" w:rsidR="00B87280" w:rsidRPr="00B87280" w:rsidRDefault="00B87280" w:rsidP="00B87280">
            <w:pPr>
              <w:jc w:val="left"/>
              <w:rPr>
                <w:sz w:val="28"/>
                <w:szCs w:val="28"/>
              </w:rPr>
            </w:pPr>
            <w:proofErr w:type="gramStart"/>
            <w:r w:rsidRPr="00B87280">
              <w:rPr>
                <w:rFonts w:hint="eastAsia"/>
                <w:sz w:val="28"/>
                <w:szCs w:val="28"/>
              </w:rPr>
              <w:t>瓶片期货</w:t>
            </w:r>
            <w:proofErr w:type="gramEnd"/>
          </w:p>
        </w:tc>
        <w:tc>
          <w:tcPr>
            <w:tcW w:w="35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0294FE" w14:textId="77777777" w:rsidR="00B87280" w:rsidRPr="00B87280" w:rsidRDefault="00B87280" w:rsidP="00B87280">
            <w:pPr>
              <w:jc w:val="left"/>
              <w:rPr>
                <w:sz w:val="28"/>
                <w:szCs w:val="28"/>
              </w:rPr>
            </w:pPr>
            <w:r w:rsidRPr="00B87280">
              <w:rPr>
                <w:rFonts w:hint="eastAsia"/>
                <w:sz w:val="28"/>
                <w:szCs w:val="28"/>
              </w:rPr>
              <w:t>信息量≤4000笔</w:t>
            </w:r>
          </w:p>
        </w:tc>
        <w:tc>
          <w:tcPr>
            <w:tcW w:w="15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1ABC0D" w14:textId="77777777" w:rsidR="00B87280" w:rsidRPr="00B87280" w:rsidRDefault="00B87280" w:rsidP="00B87280">
            <w:pPr>
              <w:jc w:val="left"/>
              <w:rPr>
                <w:sz w:val="28"/>
                <w:szCs w:val="28"/>
              </w:rPr>
            </w:pPr>
            <w:r w:rsidRPr="00B87280">
              <w:rPr>
                <w:rFonts w:hint="eastAsia"/>
                <w:sz w:val="28"/>
                <w:szCs w:val="28"/>
              </w:rPr>
              <w:t>0元/笔</w:t>
            </w:r>
          </w:p>
        </w:tc>
        <w:tc>
          <w:tcPr>
            <w:tcW w:w="12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AD0827" w14:textId="77777777" w:rsidR="00B87280" w:rsidRPr="00B87280" w:rsidRDefault="00B87280" w:rsidP="00B87280">
            <w:pPr>
              <w:jc w:val="left"/>
              <w:rPr>
                <w:sz w:val="28"/>
                <w:szCs w:val="28"/>
              </w:rPr>
            </w:pPr>
            <w:r w:rsidRPr="00B87280">
              <w:rPr>
                <w:rFonts w:hint="eastAsia"/>
                <w:sz w:val="28"/>
                <w:szCs w:val="28"/>
              </w:rPr>
              <w:t>0元/笔</w:t>
            </w:r>
          </w:p>
        </w:tc>
      </w:tr>
      <w:tr w:rsidR="00B87280" w:rsidRPr="00B87280" w14:paraId="33BF0C7C" w14:textId="77777777" w:rsidTr="00B87280">
        <w:trPr>
          <w:trHeight w:val="567"/>
          <w:jc w:val="center"/>
        </w:trPr>
        <w:tc>
          <w:tcPr>
            <w:tcW w:w="2258" w:type="dxa"/>
            <w:vMerge/>
            <w:tcBorders>
              <w:top w:val="nil"/>
              <w:left w:val="single" w:sz="8" w:space="0" w:color="auto"/>
              <w:bottom w:val="single" w:sz="8" w:space="0" w:color="auto"/>
              <w:right w:val="single" w:sz="8" w:space="0" w:color="auto"/>
            </w:tcBorders>
            <w:shd w:val="clear" w:color="auto" w:fill="auto"/>
            <w:vAlign w:val="center"/>
            <w:hideMark/>
          </w:tcPr>
          <w:p w14:paraId="21128FE2" w14:textId="77777777" w:rsidR="00B87280" w:rsidRPr="00B87280" w:rsidRDefault="00B87280" w:rsidP="00B87280">
            <w:pPr>
              <w:jc w:val="left"/>
              <w:rPr>
                <w:sz w:val="28"/>
                <w:szCs w:val="28"/>
              </w:rPr>
            </w:pPr>
          </w:p>
        </w:tc>
        <w:tc>
          <w:tcPr>
            <w:tcW w:w="35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269A01" w14:textId="77777777" w:rsidR="00B87280" w:rsidRPr="00B87280" w:rsidRDefault="00B87280" w:rsidP="00B87280">
            <w:pPr>
              <w:jc w:val="left"/>
              <w:rPr>
                <w:sz w:val="28"/>
                <w:szCs w:val="28"/>
              </w:rPr>
            </w:pPr>
            <w:r w:rsidRPr="00B87280">
              <w:rPr>
                <w:rFonts w:hint="eastAsia"/>
                <w:sz w:val="28"/>
                <w:szCs w:val="28"/>
              </w:rPr>
              <w:t>4000笔＜信息量≤8000笔</w:t>
            </w:r>
          </w:p>
        </w:tc>
        <w:tc>
          <w:tcPr>
            <w:tcW w:w="15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EF0E73" w14:textId="77777777" w:rsidR="00B87280" w:rsidRPr="00B87280" w:rsidRDefault="00B87280" w:rsidP="00B87280">
            <w:pPr>
              <w:jc w:val="left"/>
              <w:rPr>
                <w:sz w:val="28"/>
                <w:szCs w:val="28"/>
              </w:rPr>
            </w:pPr>
            <w:r w:rsidRPr="00B87280">
              <w:rPr>
                <w:rFonts w:hint="eastAsia"/>
                <w:sz w:val="28"/>
                <w:szCs w:val="28"/>
              </w:rPr>
              <w:t>0元/笔</w:t>
            </w:r>
          </w:p>
        </w:tc>
        <w:tc>
          <w:tcPr>
            <w:tcW w:w="12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0A35CE" w14:textId="77777777" w:rsidR="00B87280" w:rsidRPr="00B87280" w:rsidRDefault="00B87280" w:rsidP="00B87280">
            <w:pPr>
              <w:jc w:val="left"/>
              <w:rPr>
                <w:sz w:val="28"/>
                <w:szCs w:val="28"/>
              </w:rPr>
            </w:pPr>
            <w:r w:rsidRPr="00B87280">
              <w:rPr>
                <w:rFonts w:hint="eastAsia"/>
                <w:sz w:val="28"/>
                <w:szCs w:val="28"/>
              </w:rPr>
              <w:t>1元/笔</w:t>
            </w:r>
          </w:p>
        </w:tc>
      </w:tr>
      <w:tr w:rsidR="00B87280" w:rsidRPr="00B87280" w14:paraId="215DBFAF" w14:textId="77777777" w:rsidTr="00B87280">
        <w:trPr>
          <w:trHeight w:val="567"/>
          <w:jc w:val="center"/>
        </w:trPr>
        <w:tc>
          <w:tcPr>
            <w:tcW w:w="2258" w:type="dxa"/>
            <w:vMerge/>
            <w:tcBorders>
              <w:top w:val="nil"/>
              <w:left w:val="single" w:sz="8" w:space="0" w:color="auto"/>
              <w:bottom w:val="single" w:sz="8" w:space="0" w:color="auto"/>
              <w:right w:val="single" w:sz="8" w:space="0" w:color="auto"/>
            </w:tcBorders>
            <w:shd w:val="clear" w:color="auto" w:fill="auto"/>
            <w:vAlign w:val="center"/>
            <w:hideMark/>
          </w:tcPr>
          <w:p w14:paraId="434EB30F" w14:textId="77777777" w:rsidR="00B87280" w:rsidRPr="00B87280" w:rsidRDefault="00B87280" w:rsidP="00B87280">
            <w:pPr>
              <w:jc w:val="left"/>
              <w:rPr>
                <w:sz w:val="28"/>
                <w:szCs w:val="28"/>
              </w:rPr>
            </w:pPr>
          </w:p>
        </w:tc>
        <w:tc>
          <w:tcPr>
            <w:tcW w:w="35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382143" w14:textId="77777777" w:rsidR="00B87280" w:rsidRPr="00B87280" w:rsidRDefault="00B87280" w:rsidP="00B87280">
            <w:pPr>
              <w:jc w:val="left"/>
              <w:rPr>
                <w:sz w:val="28"/>
                <w:szCs w:val="28"/>
              </w:rPr>
            </w:pPr>
            <w:r w:rsidRPr="00B87280">
              <w:rPr>
                <w:rFonts w:hint="eastAsia"/>
                <w:sz w:val="28"/>
                <w:szCs w:val="28"/>
              </w:rPr>
              <w:t>信息量＞8000笔</w:t>
            </w:r>
          </w:p>
        </w:tc>
        <w:tc>
          <w:tcPr>
            <w:tcW w:w="15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60E6E0" w14:textId="77777777" w:rsidR="00B87280" w:rsidRPr="00B87280" w:rsidRDefault="00B87280" w:rsidP="00B87280">
            <w:pPr>
              <w:jc w:val="left"/>
              <w:rPr>
                <w:sz w:val="28"/>
                <w:szCs w:val="28"/>
              </w:rPr>
            </w:pPr>
            <w:r w:rsidRPr="00B87280">
              <w:rPr>
                <w:rFonts w:hint="eastAsia"/>
                <w:sz w:val="28"/>
                <w:szCs w:val="28"/>
              </w:rPr>
              <w:t>2.5元/笔</w:t>
            </w:r>
          </w:p>
        </w:tc>
        <w:tc>
          <w:tcPr>
            <w:tcW w:w="12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85E98D" w14:textId="77777777" w:rsidR="00B87280" w:rsidRPr="00B87280" w:rsidRDefault="00B87280" w:rsidP="00B87280">
            <w:pPr>
              <w:jc w:val="left"/>
              <w:rPr>
                <w:sz w:val="28"/>
                <w:szCs w:val="28"/>
              </w:rPr>
            </w:pPr>
            <w:r w:rsidRPr="00B87280">
              <w:rPr>
                <w:rFonts w:hint="eastAsia"/>
                <w:sz w:val="28"/>
                <w:szCs w:val="28"/>
              </w:rPr>
              <w:t>5元/笔</w:t>
            </w:r>
          </w:p>
        </w:tc>
      </w:tr>
    </w:tbl>
    <w:p w14:paraId="248F60FC" w14:textId="77777777" w:rsidR="00B87280" w:rsidRPr="00B87280" w:rsidRDefault="00B87280" w:rsidP="00B87280">
      <w:pPr>
        <w:ind w:firstLineChars="200" w:firstLine="560"/>
        <w:jc w:val="left"/>
        <w:rPr>
          <w:sz w:val="28"/>
          <w:szCs w:val="28"/>
        </w:rPr>
      </w:pPr>
      <w:r w:rsidRPr="00B87280">
        <w:rPr>
          <w:rFonts w:hint="eastAsia"/>
          <w:sz w:val="28"/>
          <w:szCs w:val="28"/>
        </w:rPr>
        <w:t>其中，期货品种申报费根据客户或非期货公司会员在期货合约上的报单成交比（</w:t>
      </w:r>
      <w:r w:rsidRPr="00B87280">
        <w:rPr>
          <w:sz w:val="28"/>
          <w:szCs w:val="28"/>
        </w:rPr>
        <w:t>Order to Trade Ratio</w:t>
      </w:r>
      <w:r w:rsidRPr="00B87280">
        <w:rPr>
          <w:rFonts w:hint="eastAsia"/>
          <w:sz w:val="28"/>
          <w:szCs w:val="28"/>
        </w:rPr>
        <w:t>，</w:t>
      </w:r>
      <w:r w:rsidRPr="00B87280">
        <w:rPr>
          <w:sz w:val="28"/>
          <w:szCs w:val="28"/>
        </w:rPr>
        <w:t>OTR</w:t>
      </w:r>
      <w:r w:rsidRPr="00B87280">
        <w:rPr>
          <w:rFonts w:hint="eastAsia"/>
          <w:sz w:val="28"/>
          <w:szCs w:val="28"/>
        </w:rPr>
        <w:t>）所在区间以及信息量分梯度计算；期权品种申报费根据客户或非期货公司会员在期权合约月份上的报单成交比所在区间以及信息量分梯度计算（详见附件）。</w:t>
      </w:r>
    </w:p>
    <w:p w14:paraId="2B88772B" w14:textId="77777777" w:rsidR="00B87280" w:rsidRPr="00B87280" w:rsidRDefault="00B87280" w:rsidP="00B87280">
      <w:pPr>
        <w:ind w:firstLineChars="200" w:firstLine="560"/>
        <w:jc w:val="left"/>
        <w:rPr>
          <w:rFonts w:hint="eastAsia"/>
          <w:sz w:val="28"/>
          <w:szCs w:val="28"/>
        </w:rPr>
      </w:pPr>
      <w:r w:rsidRPr="00B87280">
        <w:rPr>
          <w:rFonts w:hint="eastAsia"/>
          <w:sz w:val="28"/>
          <w:szCs w:val="28"/>
        </w:rPr>
        <w:t>期货公司会员应当切实加强客户交易行为管理，采取实际有效措施，防范客户出现因申报费透支导致资金不足的情形。</w:t>
      </w:r>
    </w:p>
    <w:p w14:paraId="0399C1AF" w14:textId="683CF866" w:rsidR="00B87280" w:rsidRPr="00B87280" w:rsidRDefault="00B87280" w:rsidP="00B87280">
      <w:pPr>
        <w:ind w:firstLineChars="200" w:firstLine="560"/>
        <w:jc w:val="left"/>
        <w:rPr>
          <w:rFonts w:hint="eastAsia"/>
          <w:sz w:val="28"/>
          <w:szCs w:val="28"/>
        </w:rPr>
      </w:pPr>
      <w:r w:rsidRPr="00B87280">
        <w:rPr>
          <w:rFonts w:hint="eastAsia"/>
          <w:sz w:val="28"/>
          <w:szCs w:val="28"/>
        </w:rPr>
        <w:t>特此通知。</w:t>
      </w:r>
    </w:p>
    <w:p w14:paraId="3CA805B4" w14:textId="77777777" w:rsidR="00B87280" w:rsidRPr="00B87280" w:rsidRDefault="00B87280" w:rsidP="00B87280">
      <w:pPr>
        <w:ind w:firstLineChars="200" w:firstLine="560"/>
        <w:jc w:val="left"/>
        <w:rPr>
          <w:rFonts w:hint="eastAsia"/>
          <w:sz w:val="28"/>
          <w:szCs w:val="28"/>
        </w:rPr>
      </w:pPr>
      <w:r w:rsidRPr="00B87280">
        <w:rPr>
          <w:rFonts w:hint="eastAsia"/>
          <w:sz w:val="28"/>
          <w:szCs w:val="28"/>
        </w:rPr>
        <w:t>附件：申报费计费说明</w:t>
      </w:r>
    </w:p>
    <w:p w14:paraId="14EFADE6" w14:textId="06123FEB" w:rsidR="00B87280" w:rsidRPr="00B87280" w:rsidRDefault="00B87280" w:rsidP="00B87280">
      <w:pPr>
        <w:jc w:val="left"/>
        <w:rPr>
          <w:rFonts w:hint="eastAsia"/>
          <w:sz w:val="28"/>
          <w:szCs w:val="28"/>
        </w:rPr>
      </w:pPr>
    </w:p>
    <w:p w14:paraId="49EF0C6C" w14:textId="77777777" w:rsidR="00B87280" w:rsidRPr="00B87280" w:rsidRDefault="00B87280" w:rsidP="00B87280">
      <w:pPr>
        <w:jc w:val="right"/>
        <w:rPr>
          <w:rFonts w:hint="eastAsia"/>
          <w:sz w:val="28"/>
          <w:szCs w:val="28"/>
        </w:rPr>
      </w:pPr>
      <w:r w:rsidRPr="00B87280">
        <w:rPr>
          <w:rFonts w:hint="eastAsia"/>
          <w:sz w:val="28"/>
          <w:szCs w:val="28"/>
        </w:rPr>
        <w:t>郑州商品交易所</w:t>
      </w:r>
    </w:p>
    <w:p w14:paraId="72BC6A17" w14:textId="77777777" w:rsidR="00B87280" w:rsidRPr="00B87280" w:rsidRDefault="00B87280" w:rsidP="00B87280">
      <w:pPr>
        <w:jc w:val="right"/>
        <w:rPr>
          <w:rFonts w:hint="eastAsia"/>
          <w:sz w:val="28"/>
          <w:szCs w:val="28"/>
        </w:rPr>
      </w:pPr>
      <w:r w:rsidRPr="00B87280">
        <w:rPr>
          <w:rFonts w:hint="eastAsia"/>
          <w:sz w:val="28"/>
          <w:szCs w:val="28"/>
        </w:rPr>
        <w:t>2024年8月16日</w:t>
      </w:r>
    </w:p>
    <w:p w14:paraId="5407243A" w14:textId="77777777" w:rsidR="00B87280" w:rsidRDefault="00B87280" w:rsidP="00B87280">
      <w:pPr>
        <w:rPr>
          <w:rFonts w:ascii="黑体" w:eastAsia="黑体" w:hAnsi="黑体" w:hint="eastAsia"/>
          <w:sz w:val="32"/>
        </w:rPr>
      </w:pPr>
      <w:r>
        <w:rPr>
          <w:rFonts w:ascii="黑体" w:eastAsia="黑体" w:hAnsi="黑体" w:cs="Times New Roman" w:hint="eastAsia"/>
          <w:sz w:val="32"/>
        </w:rPr>
        <w:lastRenderedPageBreak/>
        <w:t>附  件</w:t>
      </w:r>
    </w:p>
    <w:p w14:paraId="3105B2B1" w14:textId="77777777" w:rsidR="00B87280" w:rsidRDefault="00B87280" w:rsidP="00B87280">
      <w:pPr>
        <w:jc w:val="center"/>
        <w:rPr>
          <w:rFonts w:ascii="方正小标宋简体" w:eastAsia="方正小标宋简体"/>
          <w:sz w:val="44"/>
          <w:szCs w:val="44"/>
        </w:rPr>
      </w:pPr>
      <w:r>
        <w:rPr>
          <w:rFonts w:ascii="方正小标宋简体" w:eastAsia="方正小标宋简体" w:hAnsi="Times New Roman" w:cs="Times New Roman" w:hint="eastAsia"/>
          <w:sz w:val="44"/>
          <w:szCs w:val="44"/>
        </w:rPr>
        <w:t>申报费计费说明</w:t>
      </w:r>
    </w:p>
    <w:p w14:paraId="42A5002D" w14:textId="77777777" w:rsidR="00B87280" w:rsidRDefault="00B87280" w:rsidP="00B87280">
      <w:pPr>
        <w:spacing w:line="360" w:lineRule="auto"/>
        <w:ind w:firstLineChars="200" w:firstLine="640"/>
        <w:outlineLvl w:val="0"/>
        <w:rPr>
          <w:rFonts w:eastAsia="黑体"/>
          <w:sz w:val="32"/>
        </w:rPr>
      </w:pPr>
      <w:r>
        <w:rPr>
          <w:rFonts w:ascii="Times New Roman" w:eastAsia="黑体" w:hAnsi="Times New Roman" w:cs="Times New Roman" w:hint="eastAsia"/>
          <w:sz w:val="32"/>
        </w:rPr>
        <w:t>一、适用对象</w:t>
      </w:r>
    </w:p>
    <w:p w14:paraId="4F0489F3" w14:textId="77777777" w:rsidR="00B87280" w:rsidRDefault="00B87280" w:rsidP="00B87280">
      <w:pPr>
        <w:spacing w:line="360" w:lineRule="auto"/>
        <w:ind w:firstLineChars="200" w:firstLine="640"/>
        <w:rPr>
          <w:rFonts w:eastAsia="仿宋"/>
          <w:sz w:val="32"/>
          <w:szCs w:val="32"/>
        </w:rPr>
      </w:pPr>
      <w:r>
        <w:rPr>
          <w:rFonts w:ascii="Times New Roman" w:eastAsia="仿宋" w:hAnsi="Times New Roman" w:cs="Times New Roman" w:hint="eastAsia"/>
          <w:sz w:val="32"/>
          <w:szCs w:val="32"/>
        </w:rPr>
        <w:t>在实施申报费的品种上，每日信息量达到一定标准的客户或非期货公司会员。其中，做市商做市交易免收申报费。</w:t>
      </w:r>
    </w:p>
    <w:p w14:paraId="7C2D13AE" w14:textId="77777777" w:rsidR="00B87280" w:rsidRDefault="00B87280" w:rsidP="00B87280">
      <w:pPr>
        <w:spacing w:line="360" w:lineRule="auto"/>
        <w:ind w:firstLineChars="200" w:firstLine="640"/>
        <w:outlineLvl w:val="0"/>
        <w:rPr>
          <w:rFonts w:eastAsia="黑体"/>
          <w:sz w:val="32"/>
        </w:rPr>
      </w:pPr>
      <w:r>
        <w:rPr>
          <w:rFonts w:ascii="Times New Roman" w:eastAsia="黑体" w:hAnsi="Times New Roman" w:cs="Times New Roman" w:hint="eastAsia"/>
          <w:sz w:val="32"/>
        </w:rPr>
        <w:t>二、</w:t>
      </w:r>
      <w:r>
        <w:rPr>
          <w:rFonts w:eastAsia="黑体" w:cs="Times New Roman" w:hint="eastAsia"/>
          <w:sz w:val="32"/>
        </w:rPr>
        <w:t>期货品种申报费</w:t>
      </w:r>
      <w:r>
        <w:rPr>
          <w:rFonts w:ascii="Times New Roman" w:eastAsia="黑体" w:hAnsi="Times New Roman" w:cs="Times New Roman" w:hint="eastAsia"/>
          <w:sz w:val="32"/>
        </w:rPr>
        <w:t>收费公式</w:t>
      </w:r>
    </w:p>
    <w:p w14:paraId="6858E355" w14:textId="77777777" w:rsidR="00B87280" w:rsidRDefault="00B87280" w:rsidP="00B87280">
      <w:pPr>
        <w:spacing w:line="360" w:lineRule="auto"/>
        <w:ind w:firstLineChars="200" w:firstLine="640"/>
        <w:rPr>
          <w:rFonts w:eastAsia="仿宋"/>
          <w:sz w:val="32"/>
          <w:szCs w:val="32"/>
        </w:rPr>
      </w:pPr>
      <w:r>
        <w:rPr>
          <w:rFonts w:eastAsia="仿宋" w:cs="Times New Roman" w:hint="eastAsia"/>
          <w:sz w:val="32"/>
          <w:szCs w:val="32"/>
        </w:rPr>
        <w:t>期货品种</w:t>
      </w:r>
      <w:r>
        <w:rPr>
          <w:rFonts w:ascii="Times New Roman" w:eastAsia="仿宋" w:hAnsi="Times New Roman" w:cs="Times New Roman" w:hint="eastAsia"/>
          <w:sz w:val="32"/>
          <w:szCs w:val="32"/>
        </w:rPr>
        <w:t>申报费根据客户或非期货公司会员在</w:t>
      </w:r>
      <w:r>
        <w:rPr>
          <w:rFonts w:eastAsia="仿宋" w:cs="Times New Roman" w:hint="eastAsia"/>
          <w:sz w:val="32"/>
          <w:szCs w:val="32"/>
        </w:rPr>
        <w:t>期货</w:t>
      </w:r>
      <w:r>
        <w:rPr>
          <w:rFonts w:ascii="Times New Roman" w:eastAsia="仿宋" w:hAnsi="Times New Roman" w:cs="Times New Roman" w:hint="eastAsia"/>
          <w:sz w:val="32"/>
          <w:szCs w:val="32"/>
        </w:rPr>
        <w:t>合约上的报单成交比（</w:t>
      </w:r>
      <w:r>
        <w:rPr>
          <w:rFonts w:ascii="Times New Roman" w:eastAsia="仿宋" w:hAnsi="Times New Roman" w:cs="Times New Roman"/>
          <w:sz w:val="32"/>
          <w:szCs w:val="32"/>
        </w:rPr>
        <w:t>Order to Trade Ratio</w:t>
      </w:r>
      <w:r>
        <w:rPr>
          <w:rFonts w:ascii="Times New Roman" w:eastAsia="仿宋" w:hAnsi="Times New Roman" w:cs="Times New Roman" w:hint="eastAsia"/>
          <w:sz w:val="32"/>
          <w:szCs w:val="32"/>
        </w:rPr>
        <w:t>，</w:t>
      </w:r>
      <w:r>
        <w:rPr>
          <w:rFonts w:ascii="Times New Roman" w:eastAsia="仿宋" w:hAnsi="Times New Roman" w:cs="Times New Roman"/>
          <w:sz w:val="32"/>
          <w:szCs w:val="32"/>
        </w:rPr>
        <w:t>OTR</w:t>
      </w:r>
      <w:r>
        <w:rPr>
          <w:rFonts w:ascii="Times New Roman" w:eastAsia="仿宋" w:hAnsi="Times New Roman" w:cs="Times New Roman" w:hint="eastAsia"/>
          <w:sz w:val="32"/>
          <w:szCs w:val="32"/>
        </w:rPr>
        <w:t>）所在区间以及信息量分梯度计算，按日收取。</w:t>
      </w:r>
    </w:p>
    <w:p w14:paraId="35162E17" w14:textId="77777777" w:rsidR="00B87280" w:rsidRDefault="00B87280" w:rsidP="00B87280">
      <w:pPr>
        <w:spacing w:line="360" w:lineRule="auto"/>
        <w:ind w:firstLineChars="200" w:firstLine="640"/>
        <w:rPr>
          <w:rFonts w:eastAsia="仿宋"/>
          <w:sz w:val="32"/>
          <w:szCs w:val="32"/>
        </w:rPr>
      </w:pPr>
      <w:r>
        <w:rPr>
          <w:rFonts w:ascii="Times New Roman" w:eastAsia="仿宋" w:hAnsi="Times New Roman" w:cs="Times New Roman" w:hint="eastAsia"/>
          <w:sz w:val="32"/>
          <w:szCs w:val="32"/>
        </w:rPr>
        <w:t>客户或非期货公司会员在某个</w:t>
      </w:r>
      <w:r>
        <w:rPr>
          <w:rFonts w:eastAsia="仿宋" w:cs="Times New Roman" w:hint="eastAsia"/>
          <w:sz w:val="32"/>
          <w:szCs w:val="32"/>
        </w:rPr>
        <w:t>期货</w:t>
      </w:r>
      <w:r>
        <w:rPr>
          <w:rFonts w:ascii="Times New Roman" w:eastAsia="仿宋" w:hAnsi="Times New Roman" w:cs="Times New Roman" w:hint="eastAsia"/>
          <w:sz w:val="32"/>
          <w:szCs w:val="32"/>
        </w:rPr>
        <w:t>合约上的申报费</w:t>
      </w:r>
      <w:r>
        <w:rPr>
          <w:rFonts w:ascii="Times New Roman" w:eastAsia="仿宋" w:hAnsi="Times New Roman" w:cs="Times New Roman"/>
          <w:sz w:val="32"/>
          <w:szCs w:val="32"/>
        </w:rPr>
        <w:t>=</w:t>
      </w:r>
      <w:r>
        <w:rPr>
          <w:rFonts w:ascii="Times New Roman" w:eastAsia="仿宋" w:hAnsi="Times New Roman" w:cs="Times New Roman" w:hint="eastAsia"/>
          <w:sz w:val="32"/>
          <w:szCs w:val="32"/>
        </w:rPr>
        <w:t>Σ</w:t>
      </w:r>
      <w:r>
        <w:rPr>
          <w:rFonts w:ascii="Times New Roman" w:eastAsia="仿宋" w:hAnsi="Times New Roman" w:cs="Times New Roman"/>
          <w:sz w:val="32"/>
          <w:szCs w:val="32"/>
        </w:rPr>
        <w:t>(</w:t>
      </w:r>
      <w:r>
        <w:rPr>
          <w:rFonts w:ascii="Times New Roman" w:eastAsia="仿宋" w:hAnsi="Times New Roman" w:cs="Times New Roman" w:hint="eastAsia"/>
          <w:sz w:val="32"/>
          <w:szCs w:val="32"/>
        </w:rPr>
        <w:t>客户或非期货公司会员在该</w:t>
      </w:r>
      <w:r>
        <w:rPr>
          <w:rFonts w:eastAsia="仿宋" w:cs="Times New Roman" w:hint="eastAsia"/>
          <w:sz w:val="32"/>
          <w:szCs w:val="32"/>
        </w:rPr>
        <w:t>期货</w:t>
      </w:r>
      <w:r>
        <w:rPr>
          <w:rFonts w:ascii="Times New Roman" w:eastAsia="仿宋" w:hAnsi="Times New Roman" w:cs="Times New Roman" w:hint="eastAsia"/>
          <w:sz w:val="32"/>
          <w:szCs w:val="32"/>
        </w:rPr>
        <w:t>合约上各档位的信息量×相应费率</w:t>
      </w:r>
      <w:r>
        <w:rPr>
          <w:rFonts w:ascii="Times New Roman" w:eastAsia="仿宋" w:hAnsi="Times New Roman" w:cs="Times New Roman"/>
          <w:sz w:val="32"/>
          <w:szCs w:val="32"/>
        </w:rPr>
        <w:t>)</w:t>
      </w:r>
    </w:p>
    <w:p w14:paraId="2EF2E5A6" w14:textId="77777777" w:rsidR="00B87280" w:rsidRDefault="00B87280" w:rsidP="00B87280">
      <w:pPr>
        <w:spacing w:line="360" w:lineRule="auto"/>
        <w:ind w:firstLineChars="200" w:firstLine="640"/>
        <w:rPr>
          <w:rFonts w:eastAsia="仿宋"/>
          <w:sz w:val="32"/>
          <w:szCs w:val="32"/>
        </w:rPr>
      </w:pPr>
      <w:r>
        <w:rPr>
          <w:rFonts w:ascii="Times New Roman" w:eastAsia="仿宋" w:hAnsi="Times New Roman" w:cs="Times New Roman" w:hint="eastAsia"/>
          <w:sz w:val="32"/>
          <w:szCs w:val="32"/>
        </w:rPr>
        <w:t>其中，信息量</w:t>
      </w:r>
      <w:r>
        <w:rPr>
          <w:rFonts w:ascii="Times New Roman" w:eastAsia="仿宋" w:hAnsi="Times New Roman" w:cs="Times New Roman"/>
          <w:sz w:val="32"/>
          <w:szCs w:val="32"/>
        </w:rPr>
        <w:t>=</w:t>
      </w:r>
      <w:r>
        <w:rPr>
          <w:rFonts w:ascii="Times New Roman" w:eastAsia="仿宋" w:hAnsi="Times New Roman" w:cs="Times New Roman" w:hint="eastAsia"/>
          <w:sz w:val="32"/>
          <w:szCs w:val="32"/>
        </w:rPr>
        <w:t>报单、撤单等交易指令笔数之和；报单成交比（</w:t>
      </w:r>
      <w:r>
        <w:rPr>
          <w:rFonts w:ascii="Times New Roman" w:eastAsia="仿宋" w:hAnsi="Times New Roman" w:cs="Times New Roman"/>
          <w:sz w:val="32"/>
          <w:szCs w:val="32"/>
        </w:rPr>
        <w:t>OTR</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（信息量</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有成交的定单笔数）</w:t>
      </w:r>
      <w:r>
        <w:rPr>
          <w:rFonts w:ascii="Times New Roman" w:eastAsia="仿宋" w:hAnsi="Times New Roman" w:cs="Times New Roman"/>
          <w:sz w:val="32"/>
          <w:szCs w:val="32"/>
        </w:rPr>
        <w:t>- 1</w:t>
      </w:r>
      <w:r>
        <w:rPr>
          <w:rFonts w:ascii="Times New Roman" w:eastAsia="仿宋" w:hAnsi="Times New Roman" w:cs="Times New Roman" w:hint="eastAsia"/>
          <w:sz w:val="32"/>
          <w:szCs w:val="32"/>
        </w:rPr>
        <w:t>。</w:t>
      </w:r>
    </w:p>
    <w:p w14:paraId="3760DB1C" w14:textId="77777777" w:rsidR="00B87280" w:rsidRDefault="00B87280" w:rsidP="00B87280">
      <w:pPr>
        <w:ind w:firstLineChars="200" w:firstLine="640"/>
        <w:rPr>
          <w:rFonts w:eastAsia="仿宋"/>
          <w:sz w:val="32"/>
          <w:szCs w:val="32"/>
        </w:rPr>
      </w:pPr>
      <w:r>
        <w:rPr>
          <w:rFonts w:ascii="Times New Roman" w:eastAsia="仿宋" w:hAnsi="Times New Roman" w:cs="Times New Roman" w:hint="eastAsia"/>
          <w:sz w:val="32"/>
          <w:szCs w:val="32"/>
        </w:rPr>
        <w:t>若客户或非期货公司会员某日在某</w:t>
      </w:r>
      <w:r>
        <w:rPr>
          <w:rFonts w:eastAsia="仿宋" w:cs="Times New Roman" w:hint="eastAsia"/>
          <w:sz w:val="32"/>
          <w:szCs w:val="32"/>
        </w:rPr>
        <w:t>期货</w:t>
      </w:r>
      <w:r>
        <w:rPr>
          <w:rFonts w:ascii="Times New Roman" w:eastAsia="仿宋" w:hAnsi="Times New Roman" w:cs="Times New Roman" w:hint="eastAsia"/>
          <w:sz w:val="32"/>
          <w:szCs w:val="32"/>
        </w:rPr>
        <w:t>合约上有信息量但无成交，则当日在该</w:t>
      </w:r>
      <w:r>
        <w:rPr>
          <w:rFonts w:eastAsia="仿宋" w:cs="Times New Roman" w:hint="eastAsia"/>
          <w:sz w:val="32"/>
          <w:szCs w:val="32"/>
        </w:rPr>
        <w:t>期货</w:t>
      </w:r>
      <w:r>
        <w:rPr>
          <w:rFonts w:ascii="Times New Roman" w:eastAsia="仿宋" w:hAnsi="Times New Roman" w:cs="Times New Roman" w:hint="eastAsia"/>
          <w:sz w:val="32"/>
          <w:szCs w:val="32"/>
        </w:rPr>
        <w:t>合约上其报单成交比视为大于</w:t>
      </w: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p>
    <w:p w14:paraId="19C297CB" w14:textId="77777777" w:rsidR="00B87280" w:rsidRDefault="00B87280" w:rsidP="00B87280">
      <w:pPr>
        <w:spacing w:line="360" w:lineRule="auto"/>
        <w:ind w:firstLineChars="200" w:firstLine="640"/>
        <w:outlineLvl w:val="0"/>
        <w:rPr>
          <w:rFonts w:eastAsia="黑体"/>
          <w:sz w:val="32"/>
        </w:rPr>
      </w:pPr>
      <w:r>
        <w:rPr>
          <w:rFonts w:eastAsia="黑体" w:cs="Times New Roman" w:hint="eastAsia"/>
          <w:sz w:val="32"/>
        </w:rPr>
        <w:t>三</w:t>
      </w:r>
      <w:r>
        <w:rPr>
          <w:rFonts w:ascii="Times New Roman" w:eastAsia="黑体" w:hAnsi="Times New Roman" w:cs="Times New Roman" w:hint="eastAsia"/>
          <w:sz w:val="32"/>
        </w:rPr>
        <w:t>、</w:t>
      </w:r>
      <w:r>
        <w:rPr>
          <w:rFonts w:eastAsia="黑体" w:cs="Times New Roman" w:hint="eastAsia"/>
          <w:sz w:val="32"/>
        </w:rPr>
        <w:t>期权品种申报费</w:t>
      </w:r>
      <w:r>
        <w:rPr>
          <w:rFonts w:ascii="Times New Roman" w:eastAsia="黑体" w:hAnsi="Times New Roman" w:cs="Times New Roman" w:hint="eastAsia"/>
          <w:sz w:val="32"/>
        </w:rPr>
        <w:t>收费公式</w:t>
      </w:r>
    </w:p>
    <w:p w14:paraId="5945F952" w14:textId="77777777" w:rsidR="00B87280" w:rsidRDefault="00B87280" w:rsidP="00B87280">
      <w:pPr>
        <w:spacing w:line="360" w:lineRule="auto"/>
        <w:ind w:firstLineChars="200" w:firstLine="640"/>
        <w:rPr>
          <w:rFonts w:eastAsia="仿宋"/>
          <w:sz w:val="32"/>
          <w:szCs w:val="32"/>
        </w:rPr>
      </w:pPr>
      <w:r>
        <w:rPr>
          <w:rFonts w:eastAsia="仿宋" w:cs="Times New Roman" w:hint="eastAsia"/>
          <w:sz w:val="32"/>
          <w:szCs w:val="32"/>
        </w:rPr>
        <w:t>期权</w:t>
      </w:r>
      <w:r>
        <w:rPr>
          <w:rFonts w:ascii="Times New Roman" w:eastAsia="仿宋" w:hAnsi="Times New Roman" w:cs="Times New Roman" w:hint="eastAsia"/>
          <w:sz w:val="32"/>
          <w:szCs w:val="32"/>
        </w:rPr>
        <w:t>申报费根据客户或非期货公司会员在合约</w:t>
      </w:r>
      <w:r>
        <w:rPr>
          <w:rFonts w:eastAsia="仿宋" w:cs="Times New Roman" w:hint="eastAsia"/>
          <w:sz w:val="32"/>
          <w:szCs w:val="32"/>
        </w:rPr>
        <w:t>月份</w:t>
      </w:r>
      <w:r>
        <w:rPr>
          <w:rFonts w:ascii="Times New Roman" w:eastAsia="仿宋" w:hAnsi="Times New Roman" w:cs="Times New Roman" w:hint="eastAsia"/>
          <w:sz w:val="32"/>
          <w:szCs w:val="32"/>
        </w:rPr>
        <w:t>上的报单成交比所在区间以及信息量分梯度计算，按日收取。</w:t>
      </w:r>
    </w:p>
    <w:p w14:paraId="6C7AAFEE" w14:textId="77777777" w:rsidR="00B87280" w:rsidRDefault="00B87280" w:rsidP="00B87280">
      <w:pPr>
        <w:spacing w:line="360" w:lineRule="auto"/>
        <w:ind w:firstLineChars="200" w:firstLine="640"/>
        <w:rPr>
          <w:rFonts w:eastAsia="仿宋"/>
          <w:sz w:val="32"/>
          <w:szCs w:val="32"/>
        </w:rPr>
      </w:pPr>
      <w:r>
        <w:rPr>
          <w:rFonts w:ascii="Times New Roman" w:eastAsia="仿宋" w:hAnsi="Times New Roman" w:cs="Times New Roman" w:hint="eastAsia"/>
          <w:sz w:val="32"/>
          <w:szCs w:val="32"/>
        </w:rPr>
        <w:t>客户或非期货公司会员在某个</w:t>
      </w:r>
      <w:r>
        <w:rPr>
          <w:rFonts w:eastAsia="仿宋" w:cs="Times New Roman" w:hint="eastAsia"/>
          <w:sz w:val="32"/>
          <w:szCs w:val="32"/>
        </w:rPr>
        <w:t>期权</w:t>
      </w:r>
      <w:r>
        <w:rPr>
          <w:rFonts w:ascii="Times New Roman" w:eastAsia="仿宋" w:hAnsi="Times New Roman" w:cs="Times New Roman" w:hint="eastAsia"/>
          <w:sz w:val="32"/>
          <w:szCs w:val="32"/>
        </w:rPr>
        <w:t>合约</w:t>
      </w:r>
      <w:r>
        <w:rPr>
          <w:rFonts w:eastAsia="仿宋" w:cs="Times New Roman" w:hint="eastAsia"/>
          <w:sz w:val="32"/>
          <w:szCs w:val="32"/>
        </w:rPr>
        <w:t>月份</w:t>
      </w:r>
      <w:r>
        <w:rPr>
          <w:rFonts w:ascii="Times New Roman" w:eastAsia="仿宋" w:hAnsi="Times New Roman" w:cs="Times New Roman" w:hint="eastAsia"/>
          <w:sz w:val="32"/>
          <w:szCs w:val="32"/>
        </w:rPr>
        <w:t>上的申报费</w:t>
      </w:r>
      <w:r>
        <w:rPr>
          <w:rFonts w:ascii="Times New Roman" w:eastAsia="仿宋" w:hAnsi="Times New Roman" w:cs="Times New Roman"/>
          <w:sz w:val="32"/>
          <w:szCs w:val="32"/>
        </w:rPr>
        <w:t>=</w:t>
      </w:r>
      <w:r>
        <w:rPr>
          <w:rFonts w:ascii="Times New Roman" w:eastAsia="仿宋" w:hAnsi="Times New Roman" w:cs="Times New Roman" w:hint="eastAsia"/>
          <w:sz w:val="32"/>
          <w:szCs w:val="32"/>
        </w:rPr>
        <w:t>Σ</w:t>
      </w:r>
      <w:r>
        <w:rPr>
          <w:rFonts w:ascii="Times New Roman" w:eastAsia="仿宋" w:hAnsi="Times New Roman" w:cs="Times New Roman"/>
          <w:sz w:val="32"/>
          <w:szCs w:val="32"/>
        </w:rPr>
        <w:t>(</w:t>
      </w:r>
      <w:r>
        <w:rPr>
          <w:rFonts w:ascii="Times New Roman" w:eastAsia="仿宋" w:hAnsi="Times New Roman" w:cs="Times New Roman" w:hint="eastAsia"/>
          <w:sz w:val="32"/>
          <w:szCs w:val="32"/>
        </w:rPr>
        <w:t>客户或非期货公司会员在该合约</w:t>
      </w:r>
      <w:r>
        <w:rPr>
          <w:rFonts w:eastAsia="仿宋" w:cs="Times New Roman" w:hint="eastAsia"/>
          <w:sz w:val="32"/>
          <w:szCs w:val="32"/>
        </w:rPr>
        <w:t>月份</w:t>
      </w:r>
      <w:r>
        <w:rPr>
          <w:rFonts w:ascii="Times New Roman" w:eastAsia="仿宋" w:hAnsi="Times New Roman" w:cs="Times New Roman" w:hint="eastAsia"/>
          <w:sz w:val="32"/>
          <w:szCs w:val="32"/>
        </w:rPr>
        <w:t>上各档位的信息量×相应费率</w:t>
      </w:r>
      <w:r>
        <w:rPr>
          <w:rFonts w:ascii="Times New Roman" w:eastAsia="仿宋" w:hAnsi="Times New Roman" w:cs="Times New Roman"/>
          <w:sz w:val="32"/>
          <w:szCs w:val="32"/>
        </w:rPr>
        <w:t>)</w:t>
      </w:r>
    </w:p>
    <w:p w14:paraId="39BC21F1" w14:textId="77777777" w:rsidR="00B87280" w:rsidRDefault="00B87280" w:rsidP="00B87280">
      <w:pPr>
        <w:spacing w:line="360" w:lineRule="auto"/>
        <w:ind w:firstLineChars="200" w:firstLine="640"/>
        <w:rPr>
          <w:rFonts w:eastAsia="仿宋"/>
          <w:sz w:val="32"/>
          <w:szCs w:val="32"/>
        </w:rPr>
      </w:pPr>
      <w:r>
        <w:rPr>
          <w:rFonts w:ascii="Times New Roman" w:eastAsia="仿宋" w:hAnsi="Times New Roman" w:cs="Times New Roman" w:hint="eastAsia"/>
          <w:sz w:val="32"/>
          <w:szCs w:val="32"/>
        </w:rPr>
        <w:lastRenderedPageBreak/>
        <w:t>其中，信息量</w:t>
      </w:r>
      <w:r>
        <w:rPr>
          <w:rFonts w:ascii="Times New Roman" w:eastAsia="仿宋" w:hAnsi="Times New Roman" w:cs="Times New Roman"/>
          <w:sz w:val="32"/>
          <w:szCs w:val="32"/>
        </w:rPr>
        <w:t>=</w:t>
      </w:r>
      <w:r>
        <w:rPr>
          <w:rFonts w:ascii="Times New Roman" w:eastAsia="仿宋" w:hAnsi="Times New Roman" w:cs="Times New Roman" w:hint="eastAsia"/>
          <w:sz w:val="32"/>
          <w:szCs w:val="32"/>
        </w:rPr>
        <w:t>报单、撤单</w:t>
      </w:r>
      <w:r>
        <w:rPr>
          <w:rFonts w:eastAsia="仿宋" w:cs="Times New Roman" w:hint="eastAsia"/>
          <w:sz w:val="32"/>
          <w:szCs w:val="32"/>
        </w:rPr>
        <w:t>、询价</w:t>
      </w:r>
      <w:r>
        <w:rPr>
          <w:rFonts w:ascii="Times New Roman" w:eastAsia="仿宋" w:hAnsi="Times New Roman" w:cs="Times New Roman" w:hint="eastAsia"/>
          <w:sz w:val="32"/>
          <w:szCs w:val="32"/>
        </w:rPr>
        <w:t>等交易指令笔数之和；报单成交比（</w:t>
      </w:r>
      <w:r>
        <w:rPr>
          <w:rFonts w:ascii="Times New Roman" w:eastAsia="仿宋" w:hAnsi="Times New Roman" w:cs="Times New Roman"/>
          <w:sz w:val="32"/>
          <w:szCs w:val="32"/>
        </w:rPr>
        <w:t>OTR</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（信息量</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有成交的定单笔数）</w:t>
      </w:r>
      <w:r>
        <w:rPr>
          <w:rFonts w:ascii="Times New Roman" w:eastAsia="仿宋" w:hAnsi="Times New Roman" w:cs="Times New Roman"/>
          <w:sz w:val="32"/>
          <w:szCs w:val="32"/>
        </w:rPr>
        <w:t>- 1</w:t>
      </w:r>
      <w:r>
        <w:rPr>
          <w:rFonts w:ascii="Times New Roman" w:eastAsia="仿宋" w:hAnsi="Times New Roman" w:cs="Times New Roman" w:hint="eastAsia"/>
          <w:sz w:val="32"/>
          <w:szCs w:val="32"/>
        </w:rPr>
        <w:t>。</w:t>
      </w:r>
    </w:p>
    <w:p w14:paraId="016EE45C" w14:textId="77777777" w:rsidR="00B87280" w:rsidRDefault="00B87280" w:rsidP="00B87280">
      <w:pPr>
        <w:ind w:firstLineChars="200" w:firstLine="640"/>
        <w:rPr>
          <w:rFonts w:eastAsia="仿宋"/>
          <w:sz w:val="32"/>
          <w:szCs w:val="32"/>
        </w:rPr>
      </w:pPr>
      <w:r>
        <w:rPr>
          <w:rFonts w:ascii="Times New Roman" w:eastAsia="仿宋" w:hAnsi="Times New Roman" w:cs="Times New Roman" w:hint="eastAsia"/>
          <w:sz w:val="32"/>
          <w:szCs w:val="32"/>
        </w:rPr>
        <w:t>若客户或非期货公司会员某日在某</w:t>
      </w:r>
      <w:r>
        <w:rPr>
          <w:rFonts w:eastAsia="仿宋" w:cs="Times New Roman" w:hint="eastAsia"/>
          <w:sz w:val="32"/>
          <w:szCs w:val="32"/>
        </w:rPr>
        <w:t>期权</w:t>
      </w:r>
      <w:r>
        <w:rPr>
          <w:rFonts w:ascii="Times New Roman" w:eastAsia="仿宋" w:hAnsi="Times New Roman" w:cs="Times New Roman" w:hint="eastAsia"/>
          <w:sz w:val="32"/>
          <w:szCs w:val="32"/>
        </w:rPr>
        <w:t>合约</w:t>
      </w:r>
      <w:r>
        <w:rPr>
          <w:rFonts w:eastAsia="仿宋" w:cs="Times New Roman" w:hint="eastAsia"/>
          <w:sz w:val="32"/>
          <w:szCs w:val="32"/>
        </w:rPr>
        <w:t>月份</w:t>
      </w:r>
      <w:r>
        <w:rPr>
          <w:rFonts w:ascii="Times New Roman" w:eastAsia="仿宋" w:hAnsi="Times New Roman" w:cs="Times New Roman" w:hint="eastAsia"/>
          <w:sz w:val="32"/>
          <w:szCs w:val="32"/>
        </w:rPr>
        <w:t>上有信息量但无成交，则当日在该</w:t>
      </w:r>
      <w:r>
        <w:rPr>
          <w:rFonts w:eastAsia="仿宋" w:cs="Times New Roman" w:hint="eastAsia"/>
          <w:sz w:val="32"/>
          <w:szCs w:val="32"/>
        </w:rPr>
        <w:t>期权</w:t>
      </w:r>
      <w:r>
        <w:rPr>
          <w:rFonts w:ascii="Times New Roman" w:eastAsia="仿宋" w:hAnsi="Times New Roman" w:cs="Times New Roman" w:hint="eastAsia"/>
          <w:sz w:val="32"/>
          <w:szCs w:val="32"/>
        </w:rPr>
        <w:t>合约</w:t>
      </w:r>
      <w:r>
        <w:rPr>
          <w:rFonts w:eastAsia="仿宋" w:cs="Times New Roman" w:hint="eastAsia"/>
          <w:sz w:val="32"/>
          <w:szCs w:val="32"/>
        </w:rPr>
        <w:t>月份</w:t>
      </w:r>
      <w:r>
        <w:rPr>
          <w:rFonts w:ascii="Times New Roman" w:eastAsia="仿宋" w:hAnsi="Times New Roman" w:cs="Times New Roman" w:hint="eastAsia"/>
          <w:sz w:val="32"/>
          <w:szCs w:val="32"/>
        </w:rPr>
        <w:t>上其报单成交比视为大于</w:t>
      </w: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p>
    <w:p w14:paraId="163B4DAE" w14:textId="77777777" w:rsidR="00B87280" w:rsidRDefault="00B87280" w:rsidP="00B87280">
      <w:pPr>
        <w:spacing w:line="360" w:lineRule="auto"/>
        <w:ind w:firstLineChars="200" w:firstLine="640"/>
        <w:outlineLvl w:val="0"/>
        <w:rPr>
          <w:rFonts w:eastAsia="黑体"/>
          <w:sz w:val="32"/>
        </w:rPr>
      </w:pPr>
      <w:r>
        <w:rPr>
          <w:rFonts w:eastAsia="黑体" w:cs="Times New Roman" w:hint="eastAsia"/>
          <w:sz w:val="32"/>
        </w:rPr>
        <w:t>四</w:t>
      </w:r>
      <w:r>
        <w:rPr>
          <w:rFonts w:ascii="Times New Roman" w:eastAsia="黑体" w:hAnsi="Times New Roman" w:cs="Times New Roman" w:hint="eastAsia"/>
          <w:sz w:val="32"/>
        </w:rPr>
        <w:t>、信息量计算</w:t>
      </w:r>
    </w:p>
    <w:p w14:paraId="7C1FBEC9" w14:textId="77777777" w:rsidR="00B87280" w:rsidRDefault="00B87280" w:rsidP="00B87280">
      <w:pPr>
        <w:spacing w:line="360" w:lineRule="auto"/>
        <w:ind w:firstLineChars="200" w:firstLine="643"/>
        <w:jc w:val="center"/>
        <w:rPr>
          <w:rFonts w:eastAsia="仿宋"/>
          <w:sz w:val="32"/>
          <w:szCs w:val="32"/>
        </w:rPr>
      </w:pPr>
      <w:r>
        <w:rPr>
          <w:rFonts w:ascii="Times New Roman" w:eastAsia="仿宋" w:hAnsi="Times New Roman" w:cs="Times New Roman" w:hint="eastAsia"/>
          <w:b/>
          <w:sz w:val="32"/>
          <w:szCs w:val="32"/>
        </w:rPr>
        <w:t>有成交的定单笔数：</w:t>
      </w:r>
      <w:r>
        <w:rPr>
          <w:rFonts w:ascii="Times New Roman" w:eastAsia="仿宋" w:hAnsi="Times New Roman" w:cs="Times New Roman" w:hint="eastAsia"/>
          <w:sz w:val="32"/>
          <w:szCs w:val="32"/>
        </w:rPr>
        <w:t>若某笔定单部分或全部成交，则该笔定单计为</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笔成交，</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笔定单若分多次成交不重复统计。</w:t>
      </w:r>
    </w:p>
    <w:p w14:paraId="68E721A9"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b/>
          <w:sz w:val="32"/>
          <w:szCs w:val="32"/>
        </w:rPr>
        <w:t>FAK/FOK</w:t>
      </w:r>
      <w:r>
        <w:rPr>
          <w:rFonts w:ascii="Times New Roman" w:eastAsia="仿宋" w:hAnsi="Times New Roman" w:cs="Times New Roman" w:hint="eastAsia"/>
          <w:b/>
          <w:sz w:val="32"/>
          <w:szCs w:val="32"/>
        </w:rPr>
        <w:t>定单：</w:t>
      </w:r>
      <w:r>
        <w:rPr>
          <w:rFonts w:ascii="Times New Roman" w:eastAsia="仿宋" w:hAnsi="Times New Roman" w:cs="Times New Roman" w:hint="eastAsia"/>
          <w:sz w:val="32"/>
          <w:szCs w:val="32"/>
        </w:rPr>
        <w:t>若全部</w:t>
      </w:r>
      <w:proofErr w:type="gramStart"/>
      <w:r>
        <w:rPr>
          <w:rFonts w:ascii="Times New Roman" w:eastAsia="仿宋" w:hAnsi="Times New Roman" w:cs="Times New Roman" w:hint="eastAsia"/>
          <w:sz w:val="32"/>
          <w:szCs w:val="32"/>
        </w:rPr>
        <w:t>成交仅计</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w:t>
      </w:r>
      <w:proofErr w:type="gramEnd"/>
      <w:r>
        <w:rPr>
          <w:rFonts w:ascii="Times New Roman" w:eastAsia="仿宋" w:hAnsi="Times New Roman" w:cs="Times New Roman" w:hint="eastAsia"/>
          <w:sz w:val="32"/>
          <w:szCs w:val="32"/>
        </w:rPr>
        <w:t>报单笔数；若未成交或未全部成交而产生撤单，则计</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笔报单笔数和</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笔撤单笔数。</w:t>
      </w:r>
    </w:p>
    <w:p w14:paraId="06034390"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hint="eastAsia"/>
          <w:b/>
          <w:sz w:val="32"/>
          <w:szCs w:val="32"/>
        </w:rPr>
        <w:t>市价单：</w:t>
      </w:r>
      <w:r>
        <w:rPr>
          <w:rFonts w:ascii="Times New Roman" w:eastAsia="仿宋" w:hAnsi="Times New Roman" w:cs="Times New Roman" w:hint="eastAsia"/>
          <w:sz w:val="32"/>
          <w:szCs w:val="32"/>
        </w:rPr>
        <w:t>若全部</w:t>
      </w:r>
      <w:proofErr w:type="gramStart"/>
      <w:r>
        <w:rPr>
          <w:rFonts w:ascii="Times New Roman" w:eastAsia="仿宋" w:hAnsi="Times New Roman" w:cs="Times New Roman" w:hint="eastAsia"/>
          <w:sz w:val="32"/>
          <w:szCs w:val="32"/>
        </w:rPr>
        <w:t>成交仅计</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w:t>
      </w:r>
      <w:proofErr w:type="gramEnd"/>
      <w:r>
        <w:rPr>
          <w:rFonts w:ascii="Times New Roman" w:eastAsia="仿宋" w:hAnsi="Times New Roman" w:cs="Times New Roman" w:hint="eastAsia"/>
          <w:sz w:val="32"/>
          <w:szCs w:val="32"/>
        </w:rPr>
        <w:t>报单笔数；若未成交或未全部成交而产生撤单，则计</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笔报单笔数和</w:t>
      </w:r>
      <w:r>
        <w:rPr>
          <w:rFonts w:ascii="Times New Roman" w:eastAsia="仿宋" w:hAnsi="Times New Roman" w:cs="Times New Roman"/>
          <w:sz w:val="32"/>
          <w:szCs w:val="32"/>
        </w:rPr>
        <w:t>1</w:t>
      </w:r>
      <w:r>
        <w:rPr>
          <w:rFonts w:ascii="Times New Roman" w:eastAsia="仿宋" w:hAnsi="Times New Roman" w:cs="Times New Roman" w:hint="eastAsia"/>
          <w:sz w:val="32"/>
          <w:szCs w:val="32"/>
        </w:rPr>
        <w:t>笔撤单笔数。</w:t>
      </w:r>
    </w:p>
    <w:p w14:paraId="4643A5C2"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hint="eastAsia"/>
          <w:b/>
          <w:sz w:val="32"/>
          <w:szCs w:val="32"/>
        </w:rPr>
        <w:t>组合定单：</w:t>
      </w:r>
      <w:r>
        <w:rPr>
          <w:rFonts w:ascii="Times New Roman" w:eastAsia="仿宋" w:hAnsi="Times New Roman" w:cs="Times New Roman" w:hint="eastAsia"/>
          <w:sz w:val="32"/>
          <w:szCs w:val="32"/>
        </w:rPr>
        <w:t>组合定单</w:t>
      </w:r>
      <w:proofErr w:type="gramStart"/>
      <w:r>
        <w:rPr>
          <w:rFonts w:ascii="Times New Roman" w:eastAsia="仿宋" w:hAnsi="Times New Roman" w:cs="Times New Roman" w:hint="eastAsia"/>
          <w:sz w:val="32"/>
          <w:szCs w:val="32"/>
        </w:rPr>
        <w:t>的各腿合约</w:t>
      </w:r>
      <w:proofErr w:type="gramEnd"/>
      <w:r>
        <w:rPr>
          <w:rFonts w:ascii="Times New Roman" w:eastAsia="仿宋" w:hAnsi="Times New Roman" w:cs="Times New Roman" w:hint="eastAsia"/>
          <w:sz w:val="32"/>
          <w:szCs w:val="32"/>
        </w:rPr>
        <w:t>信息量分别</w:t>
      </w:r>
      <w:proofErr w:type="gramStart"/>
      <w:r>
        <w:rPr>
          <w:rFonts w:ascii="Times New Roman" w:eastAsia="仿宋" w:hAnsi="Times New Roman" w:cs="Times New Roman" w:hint="eastAsia"/>
          <w:sz w:val="32"/>
          <w:szCs w:val="32"/>
        </w:rPr>
        <w:t>计入各腿合约</w:t>
      </w:r>
      <w:proofErr w:type="gramEnd"/>
      <w:r>
        <w:rPr>
          <w:rFonts w:ascii="Times New Roman" w:eastAsia="仿宋" w:hAnsi="Times New Roman" w:cs="Times New Roman" w:hint="eastAsia"/>
          <w:sz w:val="32"/>
          <w:szCs w:val="32"/>
        </w:rPr>
        <w:t>上。</w:t>
      </w:r>
    </w:p>
    <w:p w14:paraId="2C3AD107"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hint="eastAsia"/>
          <w:b/>
          <w:sz w:val="32"/>
          <w:szCs w:val="32"/>
        </w:rPr>
        <w:t>强行平仓定单</w:t>
      </w:r>
      <w:r>
        <w:rPr>
          <w:rFonts w:ascii="Times New Roman" w:eastAsia="仿宋" w:hAnsi="Times New Roman" w:cs="Times New Roman" w:hint="eastAsia"/>
          <w:sz w:val="32"/>
          <w:szCs w:val="32"/>
        </w:rPr>
        <w:t>：均计入信息量。</w:t>
      </w:r>
    </w:p>
    <w:p w14:paraId="6771D34E"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hint="eastAsia"/>
          <w:b/>
          <w:sz w:val="32"/>
          <w:szCs w:val="32"/>
        </w:rPr>
        <w:t>强制减仓定单</w:t>
      </w:r>
      <w:r>
        <w:rPr>
          <w:rFonts w:ascii="Times New Roman" w:eastAsia="仿宋" w:hAnsi="Times New Roman" w:cs="Times New Roman" w:hint="eastAsia"/>
          <w:sz w:val="32"/>
          <w:szCs w:val="32"/>
        </w:rPr>
        <w:t>：均不计入信息量。</w:t>
      </w:r>
    </w:p>
    <w:p w14:paraId="14C44868" w14:textId="77777777" w:rsidR="00B87280" w:rsidRDefault="00B87280" w:rsidP="00B87280">
      <w:pPr>
        <w:spacing w:line="360" w:lineRule="auto"/>
        <w:ind w:firstLineChars="200" w:firstLine="643"/>
        <w:rPr>
          <w:rFonts w:eastAsia="仿宋"/>
          <w:sz w:val="32"/>
          <w:szCs w:val="32"/>
        </w:rPr>
      </w:pPr>
      <w:r>
        <w:rPr>
          <w:rFonts w:ascii="Times New Roman" w:eastAsia="仿宋" w:hAnsi="Times New Roman" w:cs="Times New Roman" w:hint="eastAsia"/>
          <w:b/>
          <w:sz w:val="32"/>
          <w:szCs w:val="32"/>
        </w:rPr>
        <w:t>询价指令：</w:t>
      </w:r>
      <w:r>
        <w:rPr>
          <w:rFonts w:eastAsia="仿宋" w:cs="Times New Roman" w:hint="eastAsia"/>
          <w:sz w:val="32"/>
          <w:szCs w:val="32"/>
        </w:rPr>
        <w:t>计入信息量（仅针对期权）。</w:t>
      </w:r>
    </w:p>
    <w:p w14:paraId="491A74EE" w14:textId="77777777" w:rsidR="00B87280" w:rsidRDefault="00B87280" w:rsidP="00B87280">
      <w:pPr>
        <w:widowControl/>
        <w:spacing w:line="360" w:lineRule="auto"/>
        <w:ind w:firstLineChars="200" w:firstLine="640"/>
        <w:rPr>
          <w:rFonts w:eastAsia="仿宋"/>
          <w:sz w:val="32"/>
          <w:szCs w:val="32"/>
        </w:rPr>
      </w:pPr>
      <w:r>
        <w:rPr>
          <w:rFonts w:ascii="Times New Roman" w:eastAsia="仿宋" w:hAnsi="Times New Roman" w:cs="Times New Roman" w:hint="eastAsia"/>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eastAsia="仿宋" w:hAnsi="Times New Roman" w:cs="Times New Roman"/>
          <w:sz w:val="32"/>
          <w:szCs w:val="32"/>
        </w:rPr>
        <w:t>OTR</w:t>
      </w:r>
      <w:r>
        <w:rPr>
          <w:rFonts w:ascii="Times New Roman" w:eastAsia="仿宋" w:hAnsi="Times New Roman" w:cs="Times New Roman" w:hint="eastAsia"/>
          <w:sz w:val="32"/>
          <w:szCs w:val="32"/>
        </w:rPr>
        <w:t>等指标合并计算。</w:t>
      </w:r>
    </w:p>
    <w:p w14:paraId="17049C50" w14:textId="77777777" w:rsidR="00B87280" w:rsidRDefault="00B87280" w:rsidP="00B87280">
      <w:pPr>
        <w:spacing w:line="360" w:lineRule="auto"/>
        <w:ind w:firstLineChars="200" w:firstLine="640"/>
        <w:outlineLvl w:val="0"/>
        <w:rPr>
          <w:rFonts w:eastAsia="黑体"/>
          <w:sz w:val="32"/>
        </w:rPr>
      </w:pPr>
      <w:r>
        <w:rPr>
          <w:rFonts w:eastAsia="黑体" w:cs="Times New Roman" w:hint="eastAsia"/>
          <w:sz w:val="32"/>
        </w:rPr>
        <w:t>五</w:t>
      </w:r>
      <w:r>
        <w:rPr>
          <w:rFonts w:ascii="Times New Roman" w:eastAsia="黑体" w:hAnsi="Times New Roman" w:cs="Times New Roman" w:hint="eastAsia"/>
          <w:sz w:val="32"/>
        </w:rPr>
        <w:t>、收取方式</w:t>
      </w:r>
    </w:p>
    <w:p w14:paraId="26ED7857" w14:textId="77777777" w:rsidR="00B87280" w:rsidRDefault="00B87280" w:rsidP="00B87280">
      <w:pPr>
        <w:spacing w:line="360" w:lineRule="auto"/>
        <w:ind w:firstLineChars="200" w:firstLine="640"/>
        <w:rPr>
          <w:rFonts w:eastAsia="仿宋"/>
          <w:sz w:val="32"/>
          <w:szCs w:val="30"/>
        </w:rPr>
      </w:pPr>
      <w:r>
        <w:rPr>
          <w:rFonts w:ascii="Times New Roman" w:eastAsia="仿宋" w:hAnsi="Times New Roman" w:cs="Times New Roman" w:hint="eastAsia"/>
          <w:sz w:val="32"/>
          <w:szCs w:val="32"/>
        </w:rPr>
        <w:lastRenderedPageBreak/>
        <w:t>当日结算时，申报费从会员结算准备金中扣划。</w:t>
      </w:r>
    </w:p>
    <w:p w14:paraId="7F2E5BD2" w14:textId="77777777" w:rsidR="00B87280" w:rsidRDefault="00B87280" w:rsidP="00B87280">
      <w:pPr>
        <w:spacing w:line="360" w:lineRule="auto"/>
        <w:ind w:firstLineChars="200" w:firstLine="640"/>
        <w:rPr>
          <w:rFonts w:eastAsia="仿宋"/>
          <w:sz w:val="32"/>
          <w:szCs w:val="30"/>
        </w:rPr>
      </w:pPr>
      <w:r>
        <w:rPr>
          <w:rFonts w:ascii="Times New Roman" w:eastAsia="仿宋" w:hAnsi="Times New Roman" w:cs="Times New Roman" w:hint="eastAsia"/>
          <w:sz w:val="32"/>
          <w:szCs w:val="30"/>
        </w:rPr>
        <w:t>对于</w:t>
      </w:r>
      <w:r>
        <w:rPr>
          <w:rFonts w:ascii="Times New Roman" w:eastAsia="仿宋" w:hAnsi="Times New Roman" w:cs="Times New Roman" w:hint="eastAsia"/>
          <w:sz w:val="32"/>
          <w:szCs w:val="32"/>
        </w:rPr>
        <w:t>具有实际控制关系的客户或非期货公司会员</w:t>
      </w:r>
      <w:r>
        <w:rPr>
          <w:rFonts w:ascii="Times New Roman" w:eastAsia="仿宋" w:hAnsi="Times New Roman" w:cs="Times New Roman" w:hint="eastAsia"/>
          <w:sz w:val="32"/>
          <w:szCs w:val="30"/>
        </w:rPr>
        <w:t>，根据申报费计算方法合并计算申报费，并按照实际控制关系账户组下各客户</w:t>
      </w:r>
      <w:r>
        <w:rPr>
          <w:rFonts w:ascii="Times New Roman" w:eastAsia="仿宋" w:hAnsi="Times New Roman" w:cs="Times New Roman" w:hint="eastAsia"/>
          <w:sz w:val="32"/>
          <w:szCs w:val="32"/>
        </w:rPr>
        <w:t>或非期货公司会员</w:t>
      </w:r>
      <w:r>
        <w:rPr>
          <w:rFonts w:ascii="Times New Roman" w:eastAsia="仿宋" w:hAnsi="Times New Roman" w:cs="Times New Roman" w:hint="eastAsia"/>
          <w:sz w:val="32"/>
          <w:szCs w:val="30"/>
        </w:rPr>
        <w:t>的信息量按比例确定相应的申报费。若客户或非期货公司会员隶属于多个实际控制关系账户组，则先计算其在</w:t>
      </w:r>
      <w:proofErr w:type="gramStart"/>
      <w:r>
        <w:rPr>
          <w:rFonts w:ascii="Times New Roman" w:eastAsia="仿宋" w:hAnsi="Times New Roman" w:cs="Times New Roman" w:hint="eastAsia"/>
          <w:sz w:val="32"/>
          <w:szCs w:val="30"/>
        </w:rPr>
        <w:t>各实际</w:t>
      </w:r>
      <w:proofErr w:type="gramEnd"/>
      <w:r>
        <w:rPr>
          <w:rFonts w:ascii="Times New Roman" w:eastAsia="仿宋" w:hAnsi="Times New Roman" w:cs="Times New Roman" w:hint="eastAsia"/>
          <w:sz w:val="32"/>
          <w:szCs w:val="30"/>
        </w:rPr>
        <w:t>控制关系账户组下应付的申报费，最后按最大</w:t>
      </w:r>
      <w:proofErr w:type="gramStart"/>
      <w:r>
        <w:rPr>
          <w:rFonts w:ascii="Times New Roman" w:eastAsia="仿宋" w:hAnsi="Times New Roman" w:cs="Times New Roman" w:hint="eastAsia"/>
          <w:sz w:val="32"/>
          <w:szCs w:val="30"/>
        </w:rPr>
        <w:t>值原则</w:t>
      </w:r>
      <w:proofErr w:type="gramEnd"/>
      <w:r>
        <w:rPr>
          <w:rFonts w:ascii="Times New Roman" w:eastAsia="仿宋" w:hAnsi="Times New Roman" w:cs="Times New Roman" w:hint="eastAsia"/>
          <w:sz w:val="32"/>
          <w:szCs w:val="30"/>
        </w:rPr>
        <w:t>确定其应付的申报费。</w:t>
      </w:r>
    </w:p>
    <w:p w14:paraId="16947D40" w14:textId="0E721586" w:rsidR="002B5378" w:rsidRPr="00B87280" w:rsidRDefault="00B87280" w:rsidP="00B87280">
      <w:pPr>
        <w:ind w:firstLine="640"/>
        <w:rPr>
          <w:rFonts w:ascii="仿宋" w:eastAsia="仿宋" w:hAnsi="仿宋" w:hint="eastAsia"/>
          <w:sz w:val="32"/>
          <w:szCs w:val="32"/>
        </w:rPr>
      </w:pPr>
      <w:r>
        <w:rPr>
          <w:rFonts w:ascii="Times New Roman" w:eastAsia="仿宋" w:hAnsi="Times New Roman" w:cs="Times New Roman" w:hint="eastAsia"/>
          <w:sz w:val="32"/>
          <w:szCs w:val="32"/>
        </w:rPr>
        <w:t>对于同一客户在不同期货公司会员处开有多个交易编码的</w:t>
      </w:r>
      <w:r>
        <w:rPr>
          <w:rFonts w:ascii="Times New Roman" w:eastAsia="仿宋" w:hAnsi="Times New Roman" w:cs="Times New Roman" w:hint="eastAsia"/>
          <w:sz w:val="32"/>
          <w:szCs w:val="30"/>
        </w:rPr>
        <w:t>，按照客户在不同期货公司会员下产生的信息量按比例确定相应的申报费。</w:t>
      </w:r>
    </w:p>
    <w:sectPr w:rsidR="002B5378" w:rsidRPr="00B87280" w:rsidSect="00B87280">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F5"/>
    <w:rsid w:val="001D3853"/>
    <w:rsid w:val="002B5378"/>
    <w:rsid w:val="00553643"/>
    <w:rsid w:val="00593137"/>
    <w:rsid w:val="006E2C99"/>
    <w:rsid w:val="00731410"/>
    <w:rsid w:val="00771854"/>
    <w:rsid w:val="00A902F2"/>
    <w:rsid w:val="00B2317C"/>
    <w:rsid w:val="00B87280"/>
    <w:rsid w:val="00CA073C"/>
    <w:rsid w:val="00E173A2"/>
    <w:rsid w:val="00E741BB"/>
    <w:rsid w:val="00EC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176E"/>
  <w15:chartTrackingRefBased/>
  <w15:docId w15:val="{C193E6C1-6238-4DC9-853E-BAEEFE07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1094">
      <w:bodyDiv w:val="1"/>
      <w:marLeft w:val="0"/>
      <w:marRight w:val="0"/>
      <w:marTop w:val="0"/>
      <w:marBottom w:val="0"/>
      <w:divBdr>
        <w:top w:val="none" w:sz="0" w:space="0" w:color="auto"/>
        <w:left w:val="none" w:sz="0" w:space="0" w:color="auto"/>
        <w:bottom w:val="none" w:sz="0" w:space="0" w:color="auto"/>
        <w:right w:val="none" w:sz="0" w:space="0" w:color="auto"/>
      </w:divBdr>
    </w:div>
    <w:div w:id="691686226">
      <w:bodyDiv w:val="1"/>
      <w:marLeft w:val="0"/>
      <w:marRight w:val="0"/>
      <w:marTop w:val="0"/>
      <w:marBottom w:val="0"/>
      <w:divBdr>
        <w:top w:val="none" w:sz="0" w:space="0" w:color="auto"/>
        <w:left w:val="none" w:sz="0" w:space="0" w:color="auto"/>
        <w:bottom w:val="none" w:sz="0" w:space="0" w:color="auto"/>
        <w:right w:val="none" w:sz="0" w:space="0" w:color="auto"/>
      </w:divBdr>
    </w:div>
    <w:div w:id="874850269">
      <w:bodyDiv w:val="1"/>
      <w:marLeft w:val="0"/>
      <w:marRight w:val="0"/>
      <w:marTop w:val="0"/>
      <w:marBottom w:val="0"/>
      <w:divBdr>
        <w:top w:val="none" w:sz="0" w:space="0" w:color="auto"/>
        <w:left w:val="none" w:sz="0" w:space="0" w:color="auto"/>
        <w:bottom w:val="none" w:sz="0" w:space="0" w:color="auto"/>
        <w:right w:val="none" w:sz="0" w:space="0" w:color="auto"/>
      </w:divBdr>
    </w:div>
    <w:div w:id="20642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 T</dc:creator>
  <cp:keywords/>
  <dc:description/>
  <cp:lastModifiedBy>imy T</cp:lastModifiedBy>
  <cp:revision>4</cp:revision>
  <dcterms:created xsi:type="dcterms:W3CDTF">2024-08-17T06:21:00Z</dcterms:created>
  <dcterms:modified xsi:type="dcterms:W3CDTF">2024-08-17T06:26:00Z</dcterms:modified>
</cp:coreProperties>
</file>