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F24AC">
      <w:pPr>
        <w:numPr>
          <w:ilvl w:val="0"/>
          <w:numId w:val="0"/>
        </w:numPr>
        <w:ind w:leftChars="0"/>
        <w:jc w:val="center"/>
        <w:rPr>
          <w:rFonts w:hint="default"/>
          <w:b/>
          <w:bCs/>
          <w:sz w:val="32"/>
          <w:szCs w:val="40"/>
          <w:lang w:val="en-US" w:eastAsia="zh-CN"/>
        </w:rPr>
      </w:pPr>
      <w:r>
        <w:rPr>
          <w:rFonts w:hint="eastAsia"/>
          <w:b/>
          <w:bCs/>
          <w:sz w:val="32"/>
          <w:szCs w:val="40"/>
          <w:lang w:val="en-US" w:eastAsia="zh-CN"/>
        </w:rPr>
        <w:t>期权附件</w:t>
      </w:r>
    </w:p>
    <w:sdt>
      <w:sdtPr>
        <w:rPr>
          <w:rFonts w:ascii="宋体" w:hAnsi="宋体" w:eastAsia="宋体" w:cstheme="minorBidi"/>
          <w:kern w:val="2"/>
          <w:sz w:val="21"/>
          <w:szCs w:val="24"/>
          <w:lang w:val="en-US" w:eastAsia="zh-CN" w:bidi="ar-SA"/>
        </w:rPr>
        <w:id w:val="147471447"/>
        <w15:color w:val="DBDBDB"/>
        <w:docPartObj>
          <w:docPartGallery w:val="Table of Contents"/>
          <w:docPartUnique/>
        </w:docPartObj>
      </w:sdtPr>
      <w:sdtEndPr>
        <w:rPr>
          <w:rFonts w:hint="eastAsia" w:ascii="仿宋" w:hAnsi="仿宋" w:eastAsia="仿宋" w:cs="仿宋"/>
          <w:kern w:val="2"/>
          <w:sz w:val="21"/>
          <w:szCs w:val="36"/>
          <w:lang w:val="en-US" w:eastAsia="zh-CN" w:bidi="ar-SA"/>
        </w:rPr>
      </w:sdtEndPr>
      <w:sdtContent>
        <w:p w14:paraId="051EC0D0">
          <w:pPr>
            <w:spacing w:before="0" w:beforeLines="0" w:after="0" w:afterLines="0" w:line="240" w:lineRule="auto"/>
            <w:ind w:left="0" w:leftChars="0" w:right="0" w:rightChars="0" w:firstLine="0" w:firstLineChars="0"/>
            <w:jc w:val="center"/>
          </w:pPr>
        </w:p>
        <w:p w14:paraId="4F5BC8CD">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"1-1" \h \u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\l _Toc23581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期货交易者交易编码及交易权限</w:t>
          </w:r>
          <w:r>
            <w:rPr>
              <w:rFonts w:hint="eastAsia" w:ascii="仿宋" w:hAnsi="仿宋" w:eastAsia="仿宋" w:cs="仿宋"/>
              <w:sz w:val="28"/>
              <w:szCs w:val="28"/>
              <w:highlight w:val="none"/>
            </w:rPr>
            <w:t>申请表</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en-US" w:eastAsia="zh-CN"/>
            </w:rPr>
            <w:fldChar w:fldCharType="end"/>
          </w:r>
        </w:p>
        <w:p w14:paraId="5F6C11A1">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\l _Toc16203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rPr>
            <w:t>期权业务特别风险揭示</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en-US" w:eastAsia="zh-CN"/>
            </w:rPr>
            <w:fldChar w:fldCharType="end"/>
          </w:r>
        </w:p>
        <w:p w14:paraId="2139BBFC">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lang w:val="en-US" w:eastAsia="zh-CN"/>
            </w:rPr>
          </w:pPr>
          <w:r>
            <w:rPr>
              <w:rFonts w:hint="eastAsia" w:ascii="仿宋" w:hAnsi="仿宋" w:eastAsia="仿宋" w:cs="仿宋"/>
              <w:sz w:val="28"/>
              <w:szCs w:val="28"/>
              <w:lang w:val="en-US" w:eastAsia="zh-CN"/>
            </w:rPr>
            <w:fldChar w:fldCharType="end"/>
          </w:r>
        </w:p>
      </w:sdtContent>
    </w:sdt>
    <w:p w14:paraId="347E81A8">
      <w:pPr>
        <w:numPr>
          <w:ilvl w:val="0"/>
          <w:numId w:val="0"/>
        </w:numPr>
        <w:ind w:leftChars="0"/>
        <w:jc w:val="both"/>
        <w:rPr>
          <w:rFonts w:hint="eastAsia" w:ascii="仿宋" w:hAnsi="仿宋" w:eastAsia="仿宋" w:cs="仿宋"/>
          <w:sz w:val="28"/>
          <w:szCs w:val="36"/>
          <w:lang w:val="en-US" w:eastAsia="zh-CN"/>
        </w:rPr>
      </w:pPr>
    </w:p>
    <w:p w14:paraId="5AA34677">
      <w:pPr>
        <w:numPr>
          <w:ilvl w:val="0"/>
          <w:numId w:val="0"/>
        </w:numPr>
        <w:ind w:leftChars="0"/>
        <w:jc w:val="both"/>
        <w:rPr>
          <w:rFonts w:hint="eastAsia" w:ascii="仿宋" w:hAnsi="仿宋" w:eastAsia="仿宋" w:cs="仿宋"/>
          <w:sz w:val="28"/>
          <w:szCs w:val="36"/>
          <w:lang w:val="en-US" w:eastAsia="zh-CN"/>
        </w:rPr>
      </w:pPr>
    </w:p>
    <w:p w14:paraId="6FBE703C">
      <w:pPr>
        <w:numPr>
          <w:ilvl w:val="0"/>
          <w:numId w:val="0"/>
        </w:numPr>
        <w:ind w:leftChars="0"/>
        <w:jc w:val="both"/>
        <w:rPr>
          <w:rFonts w:hint="eastAsia" w:ascii="仿宋" w:hAnsi="仿宋" w:eastAsia="仿宋" w:cs="仿宋"/>
          <w:sz w:val="28"/>
          <w:szCs w:val="36"/>
          <w:lang w:val="en-US" w:eastAsia="zh-CN"/>
        </w:rPr>
      </w:pPr>
    </w:p>
    <w:p w14:paraId="033B386F">
      <w:pPr>
        <w:numPr>
          <w:ilvl w:val="0"/>
          <w:numId w:val="0"/>
        </w:numPr>
        <w:ind w:leftChars="0"/>
        <w:jc w:val="both"/>
        <w:rPr>
          <w:rFonts w:hint="eastAsia" w:ascii="仿宋" w:hAnsi="仿宋" w:eastAsia="仿宋" w:cs="仿宋"/>
          <w:sz w:val="28"/>
          <w:szCs w:val="36"/>
          <w:lang w:val="en-US" w:eastAsia="zh-CN"/>
        </w:rPr>
      </w:pPr>
    </w:p>
    <w:p w14:paraId="09140FC8">
      <w:pPr>
        <w:numPr>
          <w:ilvl w:val="0"/>
          <w:numId w:val="0"/>
        </w:numPr>
        <w:ind w:leftChars="0"/>
        <w:jc w:val="both"/>
        <w:rPr>
          <w:rFonts w:hint="eastAsia" w:ascii="仿宋" w:hAnsi="仿宋" w:eastAsia="仿宋" w:cs="仿宋"/>
          <w:sz w:val="28"/>
          <w:szCs w:val="36"/>
          <w:lang w:val="en-US" w:eastAsia="zh-CN"/>
        </w:rPr>
      </w:pPr>
    </w:p>
    <w:p w14:paraId="5A072087">
      <w:pPr>
        <w:numPr>
          <w:ilvl w:val="0"/>
          <w:numId w:val="0"/>
        </w:numPr>
        <w:ind w:leftChars="0"/>
        <w:jc w:val="both"/>
        <w:rPr>
          <w:rFonts w:hint="eastAsia" w:ascii="仿宋" w:hAnsi="仿宋" w:eastAsia="仿宋" w:cs="仿宋"/>
          <w:sz w:val="28"/>
          <w:szCs w:val="36"/>
          <w:lang w:val="en-US" w:eastAsia="zh-CN"/>
        </w:rPr>
      </w:pPr>
    </w:p>
    <w:p w14:paraId="4150B882">
      <w:pPr>
        <w:numPr>
          <w:ilvl w:val="0"/>
          <w:numId w:val="0"/>
        </w:numPr>
        <w:ind w:leftChars="0"/>
        <w:jc w:val="both"/>
        <w:rPr>
          <w:rFonts w:hint="eastAsia" w:ascii="仿宋" w:hAnsi="仿宋" w:eastAsia="仿宋" w:cs="仿宋"/>
          <w:sz w:val="28"/>
          <w:szCs w:val="36"/>
          <w:lang w:val="en-US" w:eastAsia="zh-CN"/>
        </w:rPr>
      </w:pPr>
    </w:p>
    <w:p w14:paraId="643772D2">
      <w:pPr>
        <w:numPr>
          <w:ilvl w:val="0"/>
          <w:numId w:val="0"/>
        </w:numPr>
        <w:ind w:leftChars="0"/>
        <w:jc w:val="both"/>
        <w:rPr>
          <w:rFonts w:hint="eastAsia" w:ascii="仿宋" w:hAnsi="仿宋" w:eastAsia="仿宋" w:cs="仿宋"/>
          <w:sz w:val="28"/>
          <w:szCs w:val="36"/>
          <w:lang w:val="en-US" w:eastAsia="zh-CN"/>
        </w:rPr>
      </w:pPr>
    </w:p>
    <w:p w14:paraId="17927AD7">
      <w:pPr>
        <w:numPr>
          <w:ilvl w:val="0"/>
          <w:numId w:val="0"/>
        </w:numPr>
        <w:ind w:leftChars="0"/>
        <w:jc w:val="both"/>
        <w:rPr>
          <w:rFonts w:hint="eastAsia" w:ascii="仿宋" w:hAnsi="仿宋" w:eastAsia="仿宋" w:cs="仿宋"/>
          <w:sz w:val="28"/>
          <w:szCs w:val="36"/>
          <w:lang w:val="en-US" w:eastAsia="zh-CN"/>
        </w:rPr>
      </w:pPr>
    </w:p>
    <w:p w14:paraId="0C57F62F">
      <w:pPr>
        <w:numPr>
          <w:ilvl w:val="0"/>
          <w:numId w:val="0"/>
        </w:numPr>
        <w:ind w:leftChars="0"/>
        <w:jc w:val="both"/>
        <w:rPr>
          <w:rFonts w:hint="eastAsia" w:ascii="仿宋" w:hAnsi="仿宋" w:eastAsia="仿宋" w:cs="仿宋"/>
          <w:sz w:val="28"/>
          <w:szCs w:val="36"/>
          <w:lang w:val="en-US" w:eastAsia="zh-CN"/>
        </w:rPr>
      </w:pPr>
    </w:p>
    <w:p w14:paraId="7689574D">
      <w:pPr>
        <w:numPr>
          <w:ilvl w:val="0"/>
          <w:numId w:val="0"/>
        </w:numPr>
        <w:ind w:leftChars="0"/>
        <w:jc w:val="both"/>
        <w:rPr>
          <w:rFonts w:hint="eastAsia" w:ascii="仿宋" w:hAnsi="仿宋" w:eastAsia="仿宋" w:cs="仿宋"/>
          <w:sz w:val="28"/>
          <w:szCs w:val="36"/>
          <w:lang w:val="en-US" w:eastAsia="zh-CN"/>
        </w:rPr>
      </w:pPr>
    </w:p>
    <w:p w14:paraId="7E6F97D6">
      <w:pPr>
        <w:numPr>
          <w:ilvl w:val="0"/>
          <w:numId w:val="0"/>
        </w:numPr>
        <w:ind w:leftChars="0"/>
        <w:jc w:val="both"/>
        <w:rPr>
          <w:rFonts w:hint="eastAsia" w:ascii="仿宋" w:hAnsi="仿宋" w:eastAsia="仿宋" w:cs="仿宋"/>
          <w:sz w:val="28"/>
          <w:szCs w:val="36"/>
          <w:lang w:val="en-US" w:eastAsia="zh-CN"/>
        </w:rPr>
      </w:pPr>
    </w:p>
    <w:p w14:paraId="749D2441">
      <w:pPr>
        <w:numPr>
          <w:ilvl w:val="0"/>
          <w:numId w:val="0"/>
        </w:numPr>
        <w:ind w:leftChars="0"/>
        <w:jc w:val="both"/>
        <w:rPr>
          <w:rFonts w:hint="eastAsia" w:ascii="仿宋" w:hAnsi="仿宋" w:eastAsia="仿宋" w:cs="仿宋"/>
          <w:sz w:val="28"/>
          <w:szCs w:val="36"/>
          <w:lang w:val="en-US" w:eastAsia="zh-CN"/>
        </w:rPr>
      </w:pPr>
    </w:p>
    <w:p w14:paraId="5191FAD6">
      <w:pPr>
        <w:numPr>
          <w:ilvl w:val="0"/>
          <w:numId w:val="0"/>
        </w:numPr>
        <w:ind w:leftChars="0"/>
        <w:jc w:val="both"/>
        <w:rPr>
          <w:rFonts w:hint="eastAsia" w:ascii="仿宋" w:hAnsi="仿宋" w:eastAsia="仿宋" w:cs="仿宋"/>
          <w:sz w:val="28"/>
          <w:szCs w:val="36"/>
          <w:lang w:val="en-US" w:eastAsia="zh-CN"/>
        </w:rPr>
      </w:pPr>
    </w:p>
    <w:p w14:paraId="59BFD9C6">
      <w:pPr>
        <w:numPr>
          <w:ilvl w:val="0"/>
          <w:numId w:val="0"/>
        </w:numPr>
        <w:ind w:leftChars="0"/>
        <w:jc w:val="both"/>
        <w:rPr>
          <w:rFonts w:hint="eastAsia" w:ascii="仿宋" w:hAnsi="仿宋" w:eastAsia="仿宋" w:cs="仿宋"/>
          <w:sz w:val="28"/>
          <w:szCs w:val="36"/>
          <w:lang w:val="en-US" w:eastAsia="zh-CN"/>
        </w:rPr>
      </w:pPr>
    </w:p>
    <w:p w14:paraId="3DA75B98">
      <w:pPr>
        <w:numPr>
          <w:ilvl w:val="0"/>
          <w:numId w:val="0"/>
        </w:numPr>
        <w:ind w:leftChars="0"/>
        <w:jc w:val="both"/>
        <w:rPr>
          <w:rFonts w:hint="eastAsia" w:ascii="仿宋" w:hAnsi="仿宋" w:eastAsia="仿宋" w:cs="仿宋"/>
          <w:sz w:val="28"/>
          <w:szCs w:val="36"/>
          <w:lang w:val="en-US" w:eastAsia="zh-CN"/>
        </w:rPr>
      </w:pPr>
    </w:p>
    <w:p w14:paraId="065BF155">
      <w:pPr>
        <w:numPr>
          <w:ilvl w:val="0"/>
          <w:numId w:val="0"/>
        </w:numPr>
        <w:ind w:leftChars="0"/>
        <w:jc w:val="both"/>
        <w:rPr>
          <w:rFonts w:hint="eastAsia" w:ascii="仿宋" w:hAnsi="仿宋" w:eastAsia="仿宋" w:cs="仿宋"/>
          <w:sz w:val="28"/>
          <w:szCs w:val="36"/>
          <w:lang w:val="en-US" w:eastAsia="zh-CN"/>
        </w:rPr>
        <w:sectPr>
          <w:footerReference r:id="rId3" w:type="default"/>
          <w:pgSz w:w="11906" w:h="16838"/>
          <w:pgMar w:top="1440" w:right="1800" w:bottom="57" w:left="1973" w:header="851" w:footer="992" w:gutter="0"/>
          <w:cols w:space="425" w:num="1"/>
          <w:docGrid w:type="lines" w:linePitch="312" w:charSpace="0"/>
        </w:sectPr>
      </w:pPr>
    </w:p>
    <w:p w14:paraId="1525655B">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right="0" w:rightChars="0"/>
        <w:jc w:val="center"/>
        <w:textAlignment w:val="auto"/>
        <w:outlineLvl w:val="9"/>
        <w:rPr>
          <w:rFonts w:hint="eastAsia" w:ascii="微软雅黑" w:hAnsi="微软雅黑" w:eastAsia="微软雅黑"/>
          <w:b/>
          <w:bCs/>
          <w:sz w:val="24"/>
          <w:szCs w:val="24"/>
          <w:lang w:val="en-US" w:eastAsia="zh-CN"/>
        </w:rPr>
      </w:pPr>
      <w:bookmarkStart w:id="0" w:name="_Toc685"/>
      <w:bookmarkStart w:id="1" w:name="_Toc16203"/>
      <w:r>
        <w:rPr>
          <w:rFonts w:hint="eastAsia" w:ascii="微软雅黑" w:hAnsi="微软雅黑" w:eastAsia="微软雅黑"/>
          <w:b/>
          <w:bCs/>
          <w:sz w:val="24"/>
          <w:szCs w:val="24"/>
          <w:lang w:val="en-US" w:eastAsia="zh-CN"/>
        </w:rPr>
        <w:t>期货交易者交易编码及交易权限申请表</w:t>
      </w:r>
    </w:p>
    <w:tbl>
      <w:tblPr>
        <w:tblStyle w:val="6"/>
        <w:tblW w:w="117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621"/>
        <w:gridCol w:w="765"/>
        <w:gridCol w:w="1288"/>
        <w:gridCol w:w="405"/>
        <w:gridCol w:w="1187"/>
        <w:gridCol w:w="1027"/>
        <w:gridCol w:w="617"/>
        <w:gridCol w:w="4712"/>
      </w:tblGrid>
      <w:tr w14:paraId="242EA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exact"/>
          <w:jc w:val="center"/>
        </w:trPr>
        <w:tc>
          <w:tcPr>
            <w:tcW w:w="11790" w:type="dxa"/>
            <w:gridSpan w:val="9"/>
            <w:tcBorders>
              <w:tl2br w:val="nil"/>
              <w:tr2bl w:val="nil"/>
            </w:tcBorders>
            <w:shd w:val="clear" w:color="auto" w:fill="C0C0C0"/>
            <w:noWrap w:val="0"/>
            <w:vAlign w:val="center"/>
          </w:tcPr>
          <w:p w14:paraId="3AF9AF3B">
            <w:pPr>
              <w:ind w:left="0" w:leftChars="0" w:right="0" w:rightChars="0" w:firstLine="0" w:firstLineChars="0"/>
              <w:jc w:val="center"/>
              <w:rPr>
                <w:rFonts w:hint="eastAsia" w:ascii="宋体" w:hAnsi="宋体" w:eastAsia="宋体"/>
                <w:b w:val="0"/>
                <w:bCs w:val="0"/>
                <w:sz w:val="18"/>
                <w:szCs w:val="18"/>
                <w:lang w:val="en-US" w:eastAsia="zh-CN"/>
              </w:rPr>
            </w:pPr>
            <w:r>
              <w:rPr>
                <w:rFonts w:hint="eastAsia" w:ascii="宋体" w:hAnsi="宋体" w:eastAsia="宋体"/>
                <w:b/>
                <w:bCs/>
                <w:sz w:val="18"/>
                <w:szCs w:val="18"/>
                <w:lang w:val="en-US" w:eastAsia="zh-CN"/>
              </w:rPr>
              <w:t>一、客户填写</w:t>
            </w:r>
          </w:p>
        </w:tc>
      </w:tr>
      <w:tr w14:paraId="71494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168" w:type="dxa"/>
            <w:tcBorders>
              <w:tl2br w:val="nil"/>
              <w:tr2bl w:val="nil"/>
            </w:tcBorders>
            <w:noWrap w:val="0"/>
            <w:vAlign w:val="center"/>
          </w:tcPr>
          <w:p w14:paraId="65D5BA90">
            <w:pPr>
              <w:jc w:val="center"/>
              <w:rPr>
                <w:rFonts w:hint="eastAsia" w:ascii="宋体" w:hAnsi="宋体" w:eastAsia="宋体"/>
                <w:b/>
                <w:bCs/>
                <w:sz w:val="18"/>
                <w:szCs w:val="18"/>
              </w:rPr>
            </w:pPr>
            <w:r>
              <w:rPr>
                <w:rFonts w:hint="eastAsia" w:ascii="宋体" w:hAnsi="宋体" w:cs="宋体"/>
                <w:sz w:val="18"/>
                <w:szCs w:val="18"/>
              </w:rPr>
              <w:t>资金账号</w:t>
            </w:r>
          </w:p>
        </w:tc>
        <w:tc>
          <w:tcPr>
            <w:tcW w:w="1386" w:type="dxa"/>
            <w:gridSpan w:val="2"/>
            <w:tcBorders>
              <w:tl2br w:val="nil"/>
              <w:tr2bl w:val="nil"/>
            </w:tcBorders>
            <w:noWrap w:val="0"/>
            <w:vAlign w:val="center"/>
          </w:tcPr>
          <w:p w14:paraId="2B5DD7C8">
            <w:pPr>
              <w:jc w:val="center"/>
              <w:rPr>
                <w:rFonts w:hint="eastAsia" w:ascii="宋体" w:hAnsi="宋体" w:eastAsia="宋体"/>
                <w:b/>
                <w:bCs/>
                <w:sz w:val="18"/>
                <w:szCs w:val="18"/>
              </w:rPr>
            </w:pPr>
          </w:p>
        </w:tc>
        <w:tc>
          <w:tcPr>
            <w:tcW w:w="1693" w:type="dxa"/>
            <w:gridSpan w:val="2"/>
            <w:tcBorders>
              <w:tl2br w:val="nil"/>
              <w:tr2bl w:val="nil"/>
            </w:tcBorders>
            <w:noWrap w:val="0"/>
            <w:vAlign w:val="center"/>
          </w:tcPr>
          <w:p w14:paraId="75EC6F28">
            <w:pPr>
              <w:jc w:val="center"/>
              <w:rPr>
                <w:rFonts w:hint="eastAsia" w:ascii="宋体" w:hAnsi="宋体" w:eastAsia="宋体"/>
                <w:b/>
                <w:bCs/>
                <w:sz w:val="18"/>
                <w:szCs w:val="18"/>
                <w:lang w:eastAsia="zh-CN"/>
              </w:rPr>
            </w:pPr>
            <w:r>
              <w:rPr>
                <w:rFonts w:hint="eastAsia" w:ascii="宋体" w:hAnsi="宋体" w:cs="宋体"/>
                <w:sz w:val="18"/>
                <w:szCs w:val="21"/>
              </w:rPr>
              <w:t>名称</w:t>
            </w:r>
          </w:p>
        </w:tc>
        <w:tc>
          <w:tcPr>
            <w:tcW w:w="7543" w:type="dxa"/>
            <w:gridSpan w:val="4"/>
            <w:tcBorders>
              <w:tl2br w:val="nil"/>
              <w:tr2bl w:val="nil"/>
            </w:tcBorders>
            <w:noWrap w:val="0"/>
            <w:vAlign w:val="center"/>
          </w:tcPr>
          <w:p w14:paraId="6E578065">
            <w:pPr>
              <w:jc w:val="center"/>
              <w:rPr>
                <w:rFonts w:hint="eastAsia" w:ascii="宋体" w:hAnsi="宋体" w:eastAsia="宋体"/>
                <w:b/>
                <w:bCs/>
                <w:sz w:val="18"/>
                <w:szCs w:val="18"/>
              </w:rPr>
            </w:pPr>
          </w:p>
        </w:tc>
      </w:tr>
      <w:tr w14:paraId="28F0B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168" w:type="dxa"/>
            <w:tcBorders>
              <w:tl2br w:val="nil"/>
              <w:tr2bl w:val="nil"/>
            </w:tcBorders>
            <w:noWrap w:val="0"/>
            <w:vAlign w:val="center"/>
          </w:tcPr>
          <w:p w14:paraId="5501F64A">
            <w:pPr>
              <w:jc w:val="center"/>
              <w:rPr>
                <w:rFonts w:hint="eastAsia" w:ascii="宋体" w:hAnsi="宋体" w:eastAsia="宋体"/>
                <w:b w:val="0"/>
                <w:bCs w:val="0"/>
                <w:sz w:val="18"/>
                <w:szCs w:val="18"/>
                <w:lang w:val="en-US" w:eastAsia="zh-CN"/>
              </w:rPr>
            </w:pPr>
            <w:r>
              <w:rPr>
                <w:rFonts w:hint="eastAsia" w:ascii="宋体" w:hAnsi="宋体" w:cs="宋体"/>
                <w:sz w:val="18"/>
                <w:szCs w:val="21"/>
              </w:rPr>
              <w:t>证件类型</w:t>
            </w:r>
          </w:p>
        </w:tc>
        <w:tc>
          <w:tcPr>
            <w:tcW w:w="1386" w:type="dxa"/>
            <w:gridSpan w:val="2"/>
            <w:tcBorders>
              <w:tl2br w:val="nil"/>
              <w:tr2bl w:val="nil"/>
            </w:tcBorders>
            <w:noWrap w:val="0"/>
            <w:vAlign w:val="center"/>
          </w:tcPr>
          <w:p w14:paraId="30DDB95A">
            <w:pPr>
              <w:jc w:val="center"/>
              <w:rPr>
                <w:rFonts w:hint="eastAsia" w:ascii="宋体" w:hAnsi="宋体" w:eastAsia="宋体"/>
                <w:b/>
                <w:bCs/>
                <w:sz w:val="18"/>
                <w:szCs w:val="18"/>
              </w:rPr>
            </w:pPr>
          </w:p>
        </w:tc>
        <w:tc>
          <w:tcPr>
            <w:tcW w:w="1693" w:type="dxa"/>
            <w:gridSpan w:val="2"/>
            <w:tcBorders>
              <w:tl2br w:val="nil"/>
              <w:tr2bl w:val="nil"/>
            </w:tcBorders>
            <w:noWrap w:val="0"/>
            <w:vAlign w:val="center"/>
          </w:tcPr>
          <w:p w14:paraId="4B33909C">
            <w:pPr>
              <w:jc w:val="center"/>
              <w:rPr>
                <w:rFonts w:hint="eastAsia" w:ascii="宋体" w:hAnsi="宋体" w:eastAsia="宋体"/>
                <w:sz w:val="18"/>
                <w:szCs w:val="21"/>
                <w:lang w:val="en-US" w:eastAsia="zh-CN"/>
              </w:rPr>
            </w:pPr>
            <w:r>
              <w:rPr>
                <w:rFonts w:hint="eastAsia" w:ascii="宋体" w:hAnsi="宋体" w:cs="宋体"/>
                <w:sz w:val="18"/>
                <w:szCs w:val="21"/>
              </w:rPr>
              <w:t>证件号码</w:t>
            </w:r>
          </w:p>
        </w:tc>
        <w:tc>
          <w:tcPr>
            <w:tcW w:w="7543" w:type="dxa"/>
            <w:gridSpan w:val="4"/>
            <w:tcBorders>
              <w:tl2br w:val="nil"/>
              <w:tr2bl w:val="nil"/>
            </w:tcBorders>
            <w:noWrap w:val="0"/>
            <w:vAlign w:val="center"/>
          </w:tcPr>
          <w:p w14:paraId="676E6D5A">
            <w:pPr>
              <w:jc w:val="center"/>
              <w:rPr>
                <w:rFonts w:hint="eastAsia" w:ascii="宋体" w:hAnsi="宋体" w:eastAsia="宋体"/>
                <w:b w:val="0"/>
                <w:bCs w:val="0"/>
                <w:sz w:val="18"/>
                <w:szCs w:val="18"/>
                <w:lang w:val="en-US" w:eastAsia="zh-CN"/>
              </w:rPr>
            </w:pPr>
          </w:p>
        </w:tc>
      </w:tr>
      <w:tr w14:paraId="68AD6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63427200">
            <w:pPr>
              <w:jc w:val="center"/>
              <w:rPr>
                <w:rFonts w:hint="default" w:ascii="宋体" w:hAnsi="宋体" w:eastAsia="宋体"/>
                <w:b w:val="0"/>
                <w:bCs w:val="0"/>
                <w:sz w:val="18"/>
                <w:szCs w:val="24"/>
                <w:lang w:val="en-US" w:eastAsia="zh-CN"/>
              </w:rPr>
            </w:pPr>
            <w:r>
              <w:rPr>
                <w:rFonts w:hint="eastAsia" w:ascii="宋体" w:hAnsi="宋体" w:cs="宋体"/>
                <w:b/>
                <w:bCs/>
                <w:sz w:val="18"/>
                <w:szCs w:val="21"/>
              </w:rPr>
              <w:t>上海国际能源交易中心</w:t>
            </w:r>
          </w:p>
        </w:tc>
        <w:tc>
          <w:tcPr>
            <w:tcW w:w="9236" w:type="dxa"/>
            <w:gridSpan w:val="6"/>
            <w:tcBorders>
              <w:tl2br w:val="nil"/>
              <w:tr2bl w:val="nil"/>
            </w:tcBorders>
            <w:noWrap w:val="0"/>
            <w:vAlign w:val="center"/>
          </w:tcPr>
          <w:p w14:paraId="7C631C3D">
            <w:pPr>
              <w:jc w:val="left"/>
              <w:rPr>
                <w:rFonts w:hint="eastAsia" w:ascii="宋体" w:hAnsi="宋体" w:eastAsia="宋体"/>
                <w:sz w:val="18"/>
                <w:szCs w:val="21"/>
                <w:lang w:eastAsia="zh-CN"/>
              </w:rPr>
            </w:pPr>
            <w:r>
              <w:rPr>
                <w:rFonts w:hint="eastAsia" w:ascii="宋体" w:hAnsi="宋体" w:eastAsia="宋体" w:cs="宋体"/>
                <w:sz w:val="18"/>
                <w:szCs w:val="21"/>
              </w:rPr>
              <w:t>特定品种期货合约权限</w:t>
            </w:r>
            <w:r>
              <w:rPr>
                <w:rFonts w:hint="eastAsia" w:ascii="宋体" w:hAnsi="宋体" w:eastAsia="宋体" w:cs="宋体"/>
                <w:sz w:val="18"/>
                <w:szCs w:val="21"/>
                <w:lang w:eastAsia="zh-CN"/>
              </w:rPr>
              <w:t>（</w:t>
            </w:r>
            <w:r>
              <w:rPr>
                <w:rFonts w:hint="eastAsia" w:ascii="宋体" w:hAnsi="宋体" w:eastAsia="宋体" w:cs="宋体"/>
                <w:sz w:val="18"/>
                <w:szCs w:val="21"/>
              </w:rPr>
              <w:t>□</w:t>
            </w:r>
            <w:r>
              <w:rPr>
                <w:rFonts w:hint="eastAsia" w:ascii="宋体" w:hAnsi="宋体" w:cs="宋体"/>
                <w:sz w:val="18"/>
                <w:szCs w:val="18"/>
                <w:lang w:val="en-US" w:eastAsia="zh-CN"/>
              </w:rPr>
              <w:t xml:space="preserve">原油期货   </w:t>
            </w:r>
            <w:r>
              <w:rPr>
                <w:rFonts w:hint="eastAsia" w:ascii="宋体" w:hAnsi="宋体" w:eastAsia="宋体" w:cs="宋体"/>
                <w:sz w:val="18"/>
                <w:szCs w:val="21"/>
              </w:rPr>
              <w:t>□</w:t>
            </w:r>
            <w:r>
              <w:rPr>
                <w:rFonts w:hint="eastAsia" w:ascii="宋体" w:hAnsi="宋体" w:cs="宋体"/>
                <w:sz w:val="18"/>
                <w:szCs w:val="18"/>
                <w:lang w:val="en-US" w:eastAsia="zh-CN"/>
              </w:rPr>
              <w:t>其它</w:t>
            </w:r>
            <w:r>
              <w:rPr>
                <w:rFonts w:hint="eastAsia" w:ascii="宋体" w:hAnsi="宋体" w:eastAsia="宋体" w:cs="宋体"/>
                <w:sz w:val="18"/>
                <w:szCs w:val="21"/>
                <w:lang w:eastAsia="zh-CN"/>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21"/>
              </w:rPr>
              <w:t>期权合约交易</w:t>
            </w:r>
            <w:r>
              <w:rPr>
                <w:rFonts w:hint="eastAsia" w:ascii="宋体" w:hAnsi="宋体" w:eastAsia="宋体" w:cs="宋体"/>
                <w:sz w:val="18"/>
                <w:szCs w:val="21"/>
                <w:lang w:val="en-US" w:eastAsia="zh-CN"/>
              </w:rPr>
              <w:t>权限</w:t>
            </w:r>
            <w:r>
              <w:rPr>
                <w:rFonts w:hint="eastAsia" w:ascii="宋体" w:hAnsi="宋体" w:eastAsia="宋体" w:cs="宋体"/>
                <w:sz w:val="18"/>
                <w:szCs w:val="21"/>
                <w:lang w:eastAsia="zh-CN"/>
              </w:rPr>
              <w:t>（</w:t>
            </w:r>
            <w:r>
              <w:rPr>
                <w:rFonts w:hint="eastAsia" w:ascii="宋体" w:hAnsi="宋体" w:eastAsia="宋体" w:cs="宋体"/>
                <w:sz w:val="18"/>
                <w:szCs w:val="21"/>
              </w:rPr>
              <w:t>□</w:t>
            </w:r>
            <w:r>
              <w:rPr>
                <w:rFonts w:hint="eastAsia" w:ascii="宋体" w:hAnsi="宋体" w:cs="宋体"/>
                <w:sz w:val="18"/>
                <w:szCs w:val="18"/>
                <w:lang w:val="en-US" w:eastAsia="zh-CN"/>
              </w:rPr>
              <w:t xml:space="preserve">原油期权   </w:t>
            </w:r>
            <w:r>
              <w:rPr>
                <w:rFonts w:hint="eastAsia" w:ascii="宋体" w:hAnsi="宋体" w:eastAsia="宋体" w:cs="宋体"/>
                <w:sz w:val="18"/>
                <w:szCs w:val="21"/>
              </w:rPr>
              <w:t>□</w:t>
            </w:r>
            <w:r>
              <w:rPr>
                <w:rFonts w:hint="eastAsia" w:ascii="宋体" w:hAnsi="宋体" w:cs="宋体"/>
                <w:sz w:val="18"/>
                <w:szCs w:val="18"/>
                <w:lang w:val="en-US" w:eastAsia="zh-CN"/>
              </w:rPr>
              <w:t>其它</w:t>
            </w:r>
            <w:r>
              <w:rPr>
                <w:rFonts w:hint="eastAsia" w:ascii="宋体" w:hAnsi="宋体" w:eastAsia="宋体" w:cs="宋体"/>
                <w:sz w:val="18"/>
                <w:szCs w:val="21"/>
                <w:lang w:eastAsia="zh-CN"/>
              </w:rPr>
              <w:t>）</w:t>
            </w:r>
          </w:p>
        </w:tc>
      </w:tr>
      <w:tr w14:paraId="12A27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4D841618">
            <w:pPr>
              <w:tabs>
                <w:tab w:val="left" w:pos="2187"/>
              </w:tabs>
              <w:jc w:val="center"/>
              <w:rPr>
                <w:rFonts w:hint="default" w:ascii="宋体" w:hAnsi="宋体" w:eastAsia="宋体"/>
                <w:b w:val="0"/>
                <w:bCs w:val="0"/>
                <w:sz w:val="18"/>
                <w:szCs w:val="24"/>
                <w:lang w:val="en-US" w:eastAsia="zh-CN"/>
              </w:rPr>
            </w:pPr>
            <w:r>
              <w:rPr>
                <w:rFonts w:hint="eastAsia" w:ascii="宋体" w:hAnsi="宋体" w:cs="宋体"/>
                <w:b/>
                <w:bCs/>
                <w:sz w:val="18"/>
                <w:szCs w:val="21"/>
                <w:lang w:val="en-US" w:eastAsia="zh-CN"/>
              </w:rPr>
              <w:t>中国金融期货交易所</w:t>
            </w:r>
          </w:p>
        </w:tc>
        <w:tc>
          <w:tcPr>
            <w:tcW w:w="9236" w:type="dxa"/>
            <w:gridSpan w:val="6"/>
            <w:tcBorders>
              <w:tl2br w:val="nil"/>
              <w:tr2bl w:val="nil"/>
            </w:tcBorders>
            <w:noWrap w:val="0"/>
            <w:vAlign w:val="center"/>
          </w:tcPr>
          <w:p w14:paraId="4B67497B">
            <w:pPr>
              <w:jc w:val="left"/>
              <w:rPr>
                <w:rFonts w:hint="default" w:ascii="宋体" w:hAnsi="宋体" w:eastAsia="宋体"/>
                <w:sz w:val="18"/>
                <w:szCs w:val="21"/>
                <w:lang w:val="en-US"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金融期货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rPr>
              <w:t xml:space="preserve">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73B62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54" w:type="dxa"/>
            <w:gridSpan w:val="3"/>
            <w:tcBorders>
              <w:tl2br w:val="nil"/>
              <w:tr2bl w:val="nil"/>
            </w:tcBorders>
            <w:noWrap w:val="0"/>
            <w:vAlign w:val="center"/>
          </w:tcPr>
          <w:p w14:paraId="7EC488A2">
            <w:pPr>
              <w:jc w:val="center"/>
              <w:rPr>
                <w:rFonts w:hint="default" w:ascii="宋体" w:hAnsi="宋体" w:eastAsia="宋体"/>
                <w:b w:val="0"/>
                <w:bCs w:val="0"/>
                <w:sz w:val="18"/>
                <w:szCs w:val="24"/>
                <w:lang w:val="en-US" w:eastAsia="zh-CN"/>
              </w:rPr>
            </w:pPr>
            <w:r>
              <w:rPr>
                <w:rFonts w:hint="eastAsia" w:ascii="宋体" w:hAnsi="宋体" w:cs="宋体"/>
                <w:b/>
                <w:bCs/>
                <w:sz w:val="18"/>
                <w:szCs w:val="18"/>
              </w:rPr>
              <w:t>上海期货交易所</w:t>
            </w:r>
          </w:p>
        </w:tc>
        <w:tc>
          <w:tcPr>
            <w:tcW w:w="9236" w:type="dxa"/>
            <w:gridSpan w:val="6"/>
            <w:tcBorders>
              <w:tl2br w:val="nil"/>
              <w:tr2bl w:val="nil"/>
            </w:tcBorders>
            <w:noWrap w:val="0"/>
            <w:vAlign w:val="center"/>
          </w:tcPr>
          <w:p w14:paraId="1CCC01C2">
            <w:pPr>
              <w:jc w:val="left"/>
              <w:rPr>
                <w:rFonts w:hint="eastAsia" w:ascii="宋体" w:hAnsi="宋体" w:eastAsia="宋体"/>
                <w:sz w:val="18"/>
                <w:szCs w:val="21"/>
                <w:lang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2D923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4E17EE03">
            <w:pPr>
              <w:jc w:val="center"/>
              <w:rPr>
                <w:rFonts w:hint="default" w:ascii="宋体" w:hAnsi="宋体" w:eastAsia="宋体"/>
                <w:b w:val="0"/>
                <w:bCs w:val="0"/>
                <w:sz w:val="18"/>
                <w:szCs w:val="24"/>
                <w:lang w:val="en-US" w:eastAsia="zh-CN"/>
              </w:rPr>
            </w:pPr>
            <w:r>
              <w:rPr>
                <w:rFonts w:hint="eastAsia" w:ascii="宋体" w:hAnsi="宋体" w:cs="宋体"/>
                <w:b/>
                <w:bCs/>
                <w:sz w:val="18"/>
                <w:szCs w:val="18"/>
              </w:rPr>
              <w:t>大连商品交易所</w:t>
            </w:r>
          </w:p>
        </w:tc>
        <w:tc>
          <w:tcPr>
            <w:tcW w:w="9236" w:type="dxa"/>
            <w:gridSpan w:val="6"/>
            <w:tcBorders>
              <w:tl2br w:val="nil"/>
              <w:tr2bl w:val="nil"/>
            </w:tcBorders>
            <w:noWrap w:val="0"/>
            <w:vAlign w:val="center"/>
          </w:tcPr>
          <w:p w14:paraId="01E38B8A">
            <w:pPr>
              <w:jc w:val="left"/>
              <w:rPr>
                <w:rFonts w:hint="eastAsia" w:ascii="宋体" w:hAnsi="宋体" w:eastAsia="宋体"/>
                <w:sz w:val="18"/>
                <w:szCs w:val="21"/>
                <w:lang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70223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54" w:type="dxa"/>
            <w:gridSpan w:val="3"/>
            <w:tcBorders>
              <w:tl2br w:val="nil"/>
              <w:tr2bl w:val="nil"/>
            </w:tcBorders>
            <w:noWrap w:val="0"/>
            <w:vAlign w:val="center"/>
          </w:tcPr>
          <w:p w14:paraId="51E6DFB2">
            <w:pPr>
              <w:jc w:val="center"/>
              <w:rPr>
                <w:rFonts w:hint="default" w:ascii="宋体" w:hAnsi="宋体" w:eastAsia="宋体"/>
                <w:b w:val="0"/>
                <w:bCs w:val="0"/>
                <w:sz w:val="18"/>
                <w:szCs w:val="24"/>
                <w:lang w:val="en-US" w:eastAsia="zh-CN"/>
              </w:rPr>
            </w:pPr>
            <w:r>
              <w:rPr>
                <w:rFonts w:hint="eastAsia" w:ascii="宋体" w:hAnsi="宋体" w:cs="宋体"/>
                <w:b/>
                <w:bCs/>
                <w:sz w:val="18"/>
                <w:szCs w:val="18"/>
              </w:rPr>
              <w:t>郑州商品交易所</w:t>
            </w:r>
          </w:p>
        </w:tc>
        <w:tc>
          <w:tcPr>
            <w:tcW w:w="9236" w:type="dxa"/>
            <w:gridSpan w:val="6"/>
            <w:tcBorders>
              <w:tl2br w:val="nil"/>
              <w:tr2bl w:val="nil"/>
            </w:tcBorders>
            <w:noWrap w:val="0"/>
            <w:vAlign w:val="center"/>
          </w:tcPr>
          <w:p w14:paraId="62985EC4">
            <w:pPr>
              <w:jc w:val="left"/>
              <w:rPr>
                <w:rFonts w:hint="default" w:ascii="宋体" w:hAnsi="宋体" w:eastAsia="宋体"/>
                <w:sz w:val="18"/>
                <w:szCs w:val="21"/>
                <w:lang w:val="en-US"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15ADD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54" w:type="dxa"/>
            <w:gridSpan w:val="3"/>
            <w:tcBorders>
              <w:tl2br w:val="nil"/>
              <w:tr2bl w:val="nil"/>
            </w:tcBorders>
            <w:noWrap w:val="0"/>
            <w:vAlign w:val="center"/>
          </w:tcPr>
          <w:p w14:paraId="21E5BDFF">
            <w:pPr>
              <w:jc w:val="center"/>
              <w:rPr>
                <w:rFonts w:hint="default" w:ascii="宋体" w:hAnsi="宋体" w:cs="宋体" w:eastAsiaTheme="minorEastAsia"/>
                <w:b/>
                <w:bCs/>
                <w:sz w:val="18"/>
                <w:szCs w:val="18"/>
                <w:lang w:val="en-US" w:eastAsia="zh-CN"/>
              </w:rPr>
            </w:pPr>
            <w:r>
              <w:rPr>
                <w:rFonts w:hint="eastAsia" w:ascii="宋体" w:hAnsi="宋体" w:cs="宋体"/>
                <w:b/>
                <w:bCs/>
                <w:sz w:val="18"/>
                <w:szCs w:val="18"/>
                <w:lang w:val="en-US" w:eastAsia="zh-CN"/>
              </w:rPr>
              <w:t>广州期货交易所</w:t>
            </w:r>
          </w:p>
        </w:tc>
        <w:tc>
          <w:tcPr>
            <w:tcW w:w="9236" w:type="dxa"/>
            <w:gridSpan w:val="6"/>
            <w:tcBorders>
              <w:tl2br w:val="nil"/>
              <w:tr2bl w:val="nil"/>
            </w:tcBorders>
            <w:noWrap w:val="0"/>
            <w:vAlign w:val="center"/>
          </w:tcPr>
          <w:p w14:paraId="2A64A0BE">
            <w:pPr>
              <w:jc w:val="left"/>
              <w:rPr>
                <w:rFonts w:hint="eastAsia" w:ascii="宋体" w:hAnsi="宋体" w:eastAsia="宋体" w:cs="宋体"/>
                <w:sz w:val="18"/>
                <w:szCs w:val="21"/>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105CC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jc w:val="center"/>
        </w:trPr>
        <w:tc>
          <w:tcPr>
            <w:tcW w:w="11790" w:type="dxa"/>
            <w:gridSpan w:val="9"/>
            <w:tcBorders>
              <w:bottom w:val="single" w:color="auto" w:sz="12" w:space="0"/>
              <w:tl2br w:val="nil"/>
              <w:tr2bl w:val="nil"/>
            </w:tcBorders>
            <w:noWrap w:val="0"/>
            <w:vAlign w:val="center"/>
          </w:tcPr>
          <w:p w14:paraId="07BC8142">
            <w:pPr>
              <w:jc w:val="left"/>
              <w:rPr>
                <w:rFonts w:hint="eastAsia" w:ascii="宋体" w:hAnsi="宋体" w:eastAsia="宋体" w:cs="宋体"/>
                <w:sz w:val="18"/>
                <w:szCs w:val="21"/>
              </w:rPr>
            </w:pPr>
            <w:r>
              <w:rPr>
                <w:rFonts w:hint="eastAsia" w:ascii="宋体" w:hAnsi="宋体" w:eastAsia="宋体" w:cs="宋体"/>
                <w:sz w:val="18"/>
                <w:szCs w:val="21"/>
              </w:rPr>
              <w:t>本人/单位承诺：</w:t>
            </w:r>
          </w:p>
          <w:p w14:paraId="5DDFFB70">
            <w:pPr>
              <w:jc w:val="left"/>
              <w:rPr>
                <w:rFonts w:hint="eastAsia" w:ascii="宋体" w:hAnsi="宋体" w:eastAsia="宋体" w:cs="宋体"/>
                <w:sz w:val="18"/>
                <w:szCs w:val="21"/>
              </w:rPr>
            </w:pPr>
            <w:r>
              <w:rPr>
                <w:rFonts w:hint="eastAsia" w:ascii="宋体" w:hAnsi="宋体" w:eastAsia="宋体" w:cs="宋体"/>
                <w:sz w:val="18"/>
                <w:szCs w:val="21"/>
              </w:rPr>
              <w:t>1.本人具有完全民事行为能力。</w:t>
            </w:r>
          </w:p>
          <w:p w14:paraId="44507513">
            <w:pPr>
              <w:jc w:val="left"/>
              <w:rPr>
                <w:rFonts w:hint="eastAsia" w:ascii="宋体" w:hAnsi="宋体" w:eastAsia="宋体" w:cs="宋体"/>
                <w:sz w:val="18"/>
                <w:szCs w:val="21"/>
              </w:rPr>
            </w:pPr>
            <w:r>
              <w:rPr>
                <w:rFonts w:hint="eastAsia" w:ascii="宋体" w:hAnsi="宋体" w:eastAsia="宋体" w:cs="宋体"/>
                <w:sz w:val="18"/>
                <w:szCs w:val="21"/>
              </w:rPr>
              <w:t>2.本人/单位有能力承担风险，并保证资金来源的合法性，所提供的适当性材料真实、准确、完整、有效；</w:t>
            </w:r>
          </w:p>
          <w:p w14:paraId="6B1B9DD5">
            <w:pPr>
              <w:jc w:val="left"/>
              <w:rPr>
                <w:rFonts w:hint="eastAsia" w:ascii="宋体" w:hAnsi="宋体" w:eastAsia="宋体" w:cs="宋体"/>
                <w:sz w:val="18"/>
                <w:szCs w:val="21"/>
              </w:rPr>
            </w:pPr>
            <w:r>
              <w:rPr>
                <w:rFonts w:hint="eastAsia" w:ascii="宋体" w:hAnsi="宋体" w:eastAsia="宋体" w:cs="宋体"/>
                <w:sz w:val="18"/>
                <w:szCs w:val="21"/>
              </w:rPr>
              <w:t>3.本人/单位主动申请</w:t>
            </w:r>
            <w:r>
              <w:rPr>
                <w:rFonts w:hint="eastAsia" w:ascii="宋体" w:hAnsi="宋体" w:eastAsia="宋体" w:cs="宋体"/>
                <w:sz w:val="18"/>
                <w:szCs w:val="21"/>
                <w:lang w:val="en-US" w:eastAsia="zh-CN"/>
              </w:rPr>
              <w:t>开通上述期货品种交易编码</w:t>
            </w:r>
            <w:r>
              <w:rPr>
                <w:rFonts w:hint="eastAsia" w:ascii="宋体" w:hAnsi="宋体" w:eastAsia="宋体" w:cs="宋体"/>
                <w:sz w:val="18"/>
                <w:szCs w:val="21"/>
              </w:rPr>
              <w:t>/交易权限；</w:t>
            </w:r>
          </w:p>
          <w:p w14:paraId="4A42F17D">
            <w:pPr>
              <w:jc w:val="left"/>
              <w:rPr>
                <w:rFonts w:hint="eastAsia" w:ascii="宋体" w:hAnsi="宋体" w:eastAsia="宋体" w:cs="宋体"/>
                <w:sz w:val="18"/>
                <w:szCs w:val="21"/>
              </w:rPr>
            </w:pPr>
            <w:r>
              <w:rPr>
                <w:rFonts w:hint="eastAsia" w:ascii="宋体" w:hAnsi="宋体" w:eastAsia="宋体" w:cs="宋体"/>
                <w:sz w:val="18"/>
                <w:szCs w:val="21"/>
              </w:rPr>
              <w:t>4.本人/单位指令下达人具备期货交易基础知识，了解相关业务规则、产品特征；</w:t>
            </w:r>
          </w:p>
          <w:p w14:paraId="586DB01A">
            <w:pPr>
              <w:jc w:val="left"/>
              <w:rPr>
                <w:rFonts w:hint="eastAsia" w:ascii="宋体" w:hAnsi="宋体" w:eastAsia="宋体" w:cs="宋体"/>
                <w:sz w:val="18"/>
                <w:szCs w:val="21"/>
              </w:rPr>
            </w:pPr>
            <w:r>
              <w:rPr>
                <w:rFonts w:hint="eastAsia" w:ascii="宋体" w:hAnsi="宋体" w:eastAsia="宋体" w:cs="宋体"/>
                <w:sz w:val="18"/>
                <w:szCs w:val="21"/>
              </w:rPr>
              <w:t>5.本人/单位承诺，知识测试（如有）由本人/本单位独立、自主完成，本人/本单位对测试成绩负责。</w:t>
            </w:r>
          </w:p>
          <w:p w14:paraId="067BADE0">
            <w:pPr>
              <w:jc w:val="left"/>
              <w:rPr>
                <w:rFonts w:hint="eastAsia" w:ascii="宋体" w:hAnsi="宋体" w:eastAsia="宋体" w:cs="宋体"/>
                <w:sz w:val="18"/>
                <w:szCs w:val="21"/>
                <w:lang w:eastAsia="zh-CN"/>
              </w:rPr>
            </w:pPr>
            <w:r>
              <w:rPr>
                <w:rFonts w:hint="eastAsia" w:ascii="宋体" w:hAnsi="宋体" w:eastAsia="宋体" w:cs="宋体"/>
                <w:sz w:val="18"/>
                <w:szCs w:val="21"/>
              </w:rPr>
              <w:t>6.本人/单位不存在严重不良诚信记录或者被有监管权机关宣布为期货市场禁止进入者的情形；不存在法律、法规、规章和期货交易所业务规则禁止或者限制从事期货交易的情形</w:t>
            </w:r>
            <w:r>
              <w:rPr>
                <w:rFonts w:hint="eastAsia" w:ascii="宋体" w:hAnsi="宋体" w:eastAsia="宋体" w:cs="宋体"/>
                <w:sz w:val="18"/>
                <w:szCs w:val="21"/>
                <w:lang w:eastAsia="zh-CN"/>
              </w:rPr>
              <w:t>。</w:t>
            </w:r>
          </w:p>
          <w:p w14:paraId="680CF479">
            <w:pPr>
              <w:spacing w:line="240" w:lineRule="auto"/>
              <w:ind w:firstLine="0" w:firstLineChars="0"/>
              <w:jc w:val="center"/>
              <w:rPr>
                <w:rFonts w:hint="eastAsia" w:ascii="宋体" w:hAnsi="宋体" w:cs="宋体"/>
                <w:b/>
                <w:bCs/>
                <w:sz w:val="18"/>
              </w:rPr>
            </w:pPr>
            <w:r>
              <w:rPr>
                <w:rFonts w:hint="eastAsia" w:ascii="宋体" w:hAnsi="宋体" w:cs="宋体"/>
                <w:b/>
                <w:bCs/>
                <w:color w:val="000000"/>
                <w:lang w:val="en-US" w:eastAsia="zh-CN"/>
              </w:rPr>
              <w:t xml:space="preserve">                                                        </w:t>
            </w:r>
            <w:r>
              <w:rPr>
                <w:rFonts w:hint="eastAsia" w:ascii="宋体" w:hAnsi="宋体" w:cs="宋体"/>
                <w:b w:val="0"/>
                <w:bCs w:val="0"/>
                <w:color w:val="000000"/>
              </w:rPr>
              <w:t>客户签字</w:t>
            </w:r>
            <w:r>
              <w:rPr>
                <w:rFonts w:hint="eastAsia" w:ascii="宋体" w:hAnsi="宋体" w:cs="宋体"/>
                <w:color w:val="000000"/>
              </w:rPr>
              <w:t>：</w:t>
            </w:r>
          </w:p>
          <w:p w14:paraId="769A40D0">
            <w:pPr>
              <w:spacing w:line="240" w:lineRule="auto"/>
              <w:ind w:left="0" w:leftChars="0" w:right="0" w:rightChars="0" w:firstLine="3240" w:firstLineChars="1800"/>
              <w:jc w:val="center"/>
              <w:rPr>
                <w:rFonts w:hint="eastAsia" w:ascii="宋体" w:hAnsi="宋体" w:cs="宋体"/>
                <w:sz w:val="18"/>
              </w:rPr>
            </w:pPr>
            <w:r>
              <w:rPr>
                <w:rFonts w:hint="eastAsia" w:ascii="宋体" w:hAnsi="宋体" w:eastAsia="宋体" w:cs="宋体"/>
                <w:sz w:val="18"/>
                <w:szCs w:val="21"/>
                <w:lang w:val="en-US" w:eastAsia="zh-CN"/>
              </w:rPr>
              <w:t xml:space="preserve">                               </w:t>
            </w:r>
            <w:r>
              <w:rPr>
                <w:rFonts w:hint="eastAsia" w:ascii="宋体" w:hAnsi="宋体" w:eastAsia="宋体" w:cs="宋体"/>
                <w:b w:val="0"/>
                <w:sz w:val="18"/>
                <w:szCs w:val="21"/>
                <w:lang w:eastAsia="zh-CN"/>
              </w:rPr>
              <w:t>（</w:t>
            </w:r>
            <w:r>
              <w:rPr>
                <w:rFonts w:hint="eastAsia" w:ascii="宋体" w:hAnsi="宋体" w:eastAsia="宋体" w:cs="宋体"/>
                <w:b w:val="0"/>
                <w:sz w:val="18"/>
                <w:szCs w:val="21"/>
                <w:lang w:val="en-US" w:eastAsia="zh-CN"/>
              </w:rPr>
              <w:t>机构加盖公章</w:t>
            </w:r>
            <w:r>
              <w:rPr>
                <w:rFonts w:hint="eastAsia" w:ascii="宋体" w:hAnsi="宋体" w:eastAsia="宋体" w:cs="宋体"/>
                <w:b w:val="0"/>
                <w:sz w:val="18"/>
                <w:szCs w:val="21"/>
                <w:lang w:eastAsia="zh-CN"/>
              </w:rPr>
              <w:t>）</w:t>
            </w:r>
          </w:p>
          <w:p w14:paraId="25CFEDB9">
            <w:pPr>
              <w:spacing w:line="240" w:lineRule="auto"/>
              <w:ind w:left="0" w:leftChars="0" w:right="0" w:rightChars="0" w:firstLine="3240" w:firstLineChars="1800"/>
              <w:jc w:val="center"/>
              <w:rPr>
                <w:rFonts w:ascii="宋体" w:hAnsi="宋体" w:eastAsia="宋体"/>
                <w:b/>
                <w:bCs/>
                <w:sz w:val="18"/>
                <w:szCs w:val="24"/>
              </w:rPr>
            </w:pPr>
            <w:r>
              <w:rPr>
                <w:rFonts w:hint="eastAsia" w:ascii="宋体" w:hAnsi="宋体" w:cs="宋体"/>
                <w:sz w:val="18"/>
                <w:lang w:val="en-US" w:eastAsia="zh-CN"/>
              </w:rPr>
              <w:t xml:space="preserve">                                                     </w:t>
            </w:r>
            <w:r>
              <w:rPr>
                <w:rFonts w:hint="eastAsia" w:ascii="宋体" w:hAnsi="宋体" w:cs="宋体"/>
                <w:sz w:val="18"/>
              </w:rPr>
              <w:t xml:space="preserve">申请日期：      </w:t>
            </w:r>
            <w:r>
              <w:rPr>
                <w:rFonts w:hint="eastAsia" w:ascii="宋体" w:hAnsi="宋体" w:cs="宋体"/>
                <w:sz w:val="18"/>
                <w:lang w:val="en-US" w:eastAsia="zh-CN"/>
              </w:rPr>
              <w:t xml:space="preserve">  </w:t>
            </w:r>
            <w:r>
              <w:rPr>
                <w:rFonts w:hint="eastAsia" w:ascii="宋体" w:hAnsi="宋体" w:cs="宋体"/>
                <w:sz w:val="18"/>
              </w:rPr>
              <w:t xml:space="preserve">  年    月    日</w:t>
            </w:r>
          </w:p>
        </w:tc>
      </w:tr>
      <w:tr w14:paraId="619B0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11790" w:type="dxa"/>
            <w:gridSpan w:val="9"/>
            <w:tcBorders>
              <w:top w:val="single" w:color="auto" w:sz="12" w:space="0"/>
              <w:tl2br w:val="nil"/>
              <w:tr2bl w:val="nil"/>
            </w:tcBorders>
            <w:shd w:val="clear" w:color="auto" w:fill="AEAAAA" w:themeFill="background2" w:themeFillShade="BF"/>
            <w:noWrap w:val="0"/>
            <w:vAlign w:val="center"/>
          </w:tcPr>
          <w:p w14:paraId="216E386A">
            <w:pPr>
              <w:spacing w:line="240" w:lineRule="auto"/>
              <w:ind w:left="0" w:leftChars="0" w:right="0" w:rightChars="0" w:firstLine="0" w:firstLineChars="0"/>
              <w:jc w:val="center"/>
              <w:rPr>
                <w:rFonts w:hint="default" w:ascii="宋体" w:hAnsi="宋体" w:eastAsia="宋体"/>
                <w:b/>
                <w:bCs/>
                <w:sz w:val="18"/>
                <w:szCs w:val="18"/>
                <w:lang w:val="en-US" w:eastAsia="zh-CN"/>
              </w:rPr>
            </w:pPr>
            <w:r>
              <w:rPr>
                <w:rFonts w:hint="eastAsia" w:ascii="宋体" w:hAnsi="宋体" w:eastAsia="宋体"/>
                <w:b/>
                <w:bCs/>
                <w:sz w:val="18"/>
                <w:szCs w:val="18"/>
                <w:lang w:val="en-US" w:eastAsia="zh-CN"/>
              </w:rPr>
              <w:t>二、期货公司业务受理</w:t>
            </w:r>
          </w:p>
        </w:tc>
      </w:tr>
      <w:tr w14:paraId="48D36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90" w:type="dxa"/>
            <w:gridSpan w:val="9"/>
            <w:tcBorders>
              <w:tl2br w:val="nil"/>
              <w:tr2bl w:val="nil"/>
            </w:tcBorders>
            <w:shd w:val="clear" w:color="auto" w:fill="AEAAAA" w:themeFill="background2" w:themeFillShade="BF"/>
            <w:noWrap w:val="0"/>
            <w:vAlign w:val="center"/>
          </w:tcPr>
          <w:p w14:paraId="38A29509">
            <w:pPr>
              <w:spacing w:line="240" w:lineRule="auto"/>
              <w:ind w:left="0" w:leftChars="0" w:right="0" w:rightChars="0" w:firstLine="0" w:firstLineChars="0"/>
              <w:jc w:val="center"/>
              <w:rPr>
                <w:rFonts w:hint="default" w:ascii="宋体" w:hAnsi="宋体" w:eastAsia="宋体"/>
                <w:b/>
                <w:bCs/>
                <w:sz w:val="18"/>
                <w:szCs w:val="18"/>
                <w:lang w:val="en-US" w:eastAsia="zh-CN"/>
              </w:rPr>
            </w:pPr>
            <w:r>
              <w:rPr>
                <w:rFonts w:hint="eastAsia" w:ascii="宋体" w:hAnsi="宋体" w:eastAsia="宋体"/>
                <w:b/>
                <w:bCs/>
                <w:sz w:val="18"/>
                <w:szCs w:val="18"/>
                <w:lang w:val="en-US" w:eastAsia="zh-CN"/>
              </w:rPr>
              <w:t>(一)自然人（适当性等级</w:t>
            </w:r>
            <w:r>
              <w:rPr>
                <w:rFonts w:hint="eastAsia" w:ascii="宋体" w:hAnsi="宋体" w:eastAsia="宋体"/>
                <w:b/>
                <w:bCs/>
                <w:sz w:val="18"/>
                <w:szCs w:val="18"/>
                <w:u w:val="single"/>
                <w:lang w:val="en-US" w:eastAsia="zh-CN"/>
              </w:rPr>
              <w:t xml:space="preserve">           </w:t>
            </w:r>
            <w:r>
              <w:rPr>
                <w:rFonts w:hint="eastAsia" w:ascii="宋体" w:hAnsi="宋体" w:eastAsia="宋体"/>
                <w:b/>
                <w:bCs/>
                <w:sz w:val="18"/>
                <w:szCs w:val="18"/>
                <w:lang w:val="en-US" w:eastAsia="zh-CN"/>
              </w:rPr>
              <w:t>）</w:t>
            </w:r>
          </w:p>
        </w:tc>
      </w:tr>
      <w:tr w14:paraId="096F1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4E1D065E">
            <w:pPr>
              <w:spacing w:line="240" w:lineRule="auto"/>
              <w:ind w:left="0" w:leftChars="0" w:right="0" w:rightChars="0" w:firstLine="0" w:firstLineChars="0"/>
              <w:jc w:val="left"/>
              <w:rPr>
                <w:rFonts w:hint="eastAsia" w:ascii="宋体" w:hAnsi="宋体" w:eastAsia="宋体" w:cs="宋体"/>
                <w:b/>
                <w:bCs/>
                <w:sz w:val="18"/>
                <w:szCs w:val="18"/>
                <w:lang w:val="en-US" w:eastAsia="zh-CN"/>
              </w:rPr>
            </w:pPr>
            <w:r>
              <w:rPr>
                <w:rFonts w:hint="eastAsia" w:ascii="宋体" w:hAnsi="宋体" w:eastAsia="宋体" w:cs="宋体"/>
                <w:color w:val="000000"/>
                <w:sz w:val="18"/>
                <w:lang w:val="en-US" w:eastAsia="zh-CN"/>
              </w:rPr>
              <w:t>1.已年满18周岁，具备完全民事行为能力</w:t>
            </w:r>
          </w:p>
        </w:tc>
        <w:tc>
          <w:tcPr>
            <w:tcW w:w="5329" w:type="dxa"/>
            <w:gridSpan w:val="2"/>
            <w:tcBorders>
              <w:tl2br w:val="nil"/>
              <w:tr2bl w:val="nil"/>
            </w:tcBorders>
            <w:noWrap w:val="0"/>
            <w:vAlign w:val="center"/>
          </w:tcPr>
          <w:p w14:paraId="035168DA">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00812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0299EDF3">
            <w:pPr>
              <w:spacing w:line="240" w:lineRule="auto"/>
              <w:ind w:left="0" w:leftChars="0" w:right="0" w:rightChars="0" w:firstLine="0" w:firstLineChars="0"/>
              <w:jc w:val="left"/>
              <w:rPr>
                <w:rFonts w:hint="default" w:ascii="宋体" w:hAnsi="宋体" w:eastAsia="宋体" w:cs="宋体"/>
                <w:b/>
                <w:bCs/>
                <w:color w:val="000000"/>
                <w:sz w:val="18"/>
                <w:szCs w:val="18"/>
                <w:lang w:val="en-US" w:eastAsia="zh-CN"/>
              </w:rPr>
            </w:pPr>
            <w:r>
              <w:rPr>
                <w:rFonts w:hint="eastAsia" w:ascii="宋体" w:hAnsi="宋体" w:eastAsia="宋体" w:cs="宋体"/>
                <w:color w:val="000000"/>
                <w:sz w:val="18"/>
                <w:lang w:val="en-US" w:eastAsia="zh-CN"/>
              </w:rPr>
              <w:t>2.</w:t>
            </w:r>
            <w:r>
              <w:rPr>
                <w:rFonts w:hint="eastAsia" w:ascii="宋体" w:hAnsi="宋体" w:eastAsia="宋体" w:cs="宋体"/>
                <w:color w:val="000000"/>
                <w:sz w:val="18"/>
                <w:szCs w:val="18"/>
              </w:rPr>
              <w:t>身份证明文件是否有效</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一致</w:t>
            </w:r>
          </w:p>
        </w:tc>
        <w:tc>
          <w:tcPr>
            <w:tcW w:w="5329" w:type="dxa"/>
            <w:gridSpan w:val="2"/>
            <w:tcBorders>
              <w:tl2br w:val="nil"/>
              <w:tr2bl w:val="nil"/>
            </w:tcBorders>
            <w:noWrap w:val="0"/>
            <w:vAlign w:val="center"/>
          </w:tcPr>
          <w:p w14:paraId="2F639522">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33975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20042A6A">
            <w:pPr>
              <w:spacing w:line="240" w:lineRule="auto"/>
              <w:ind w:left="0" w:leftChars="0" w:right="0" w:rightChars="0" w:firstLine="0" w:firstLineChars="0"/>
              <w:jc w:val="left"/>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lang w:val="en-US" w:eastAsia="zh-CN"/>
              </w:rPr>
              <w:t>期货基础知识测试成绩80分以上</w:t>
            </w:r>
            <w:r>
              <w:rPr>
                <w:rFonts w:hint="eastAsia" w:ascii="宋体" w:hAnsi="宋体" w:eastAsia="宋体"/>
                <w:sz w:val="18"/>
                <w:szCs w:val="21"/>
                <w:lang w:eastAsia="zh-CN"/>
              </w:rPr>
              <w:t>（</w:t>
            </w:r>
            <w:r>
              <w:rPr>
                <w:rFonts w:hint="eastAsia" w:ascii="宋体" w:hAnsi="宋体" w:eastAsia="宋体"/>
                <w:sz w:val="18"/>
                <w:szCs w:val="21"/>
                <w:lang w:val="en-US" w:eastAsia="zh-CN"/>
              </w:rPr>
              <w:t>非二次开户及豁免）</w:t>
            </w:r>
          </w:p>
        </w:tc>
        <w:tc>
          <w:tcPr>
            <w:tcW w:w="5329" w:type="dxa"/>
            <w:gridSpan w:val="2"/>
            <w:tcBorders>
              <w:tl2br w:val="nil"/>
              <w:tr2bl w:val="nil"/>
            </w:tcBorders>
            <w:noWrap w:val="0"/>
            <w:vAlign w:val="center"/>
          </w:tcPr>
          <w:p w14:paraId="65BCAFED">
            <w:pPr>
              <w:ind w:left="0" w:leftChars="0" w:right="0" w:rightChars="0" w:firstLine="0" w:firstLineChars="0"/>
              <w:jc w:val="center"/>
              <w:rPr>
                <w:rFonts w:hint="default" w:ascii="宋体" w:hAnsi="宋体" w:eastAsia="宋体"/>
                <w:b/>
                <w:bCs/>
                <w:sz w:val="18"/>
                <w:szCs w:val="18"/>
                <w:u w:val="none"/>
                <w:lang w:val="en-US" w:eastAsia="zh-CN"/>
              </w:rPr>
            </w:pPr>
            <w:r>
              <w:rPr>
                <w:rFonts w:hint="eastAsia"/>
                <w:color w:val="000000"/>
                <w:sz w:val="18"/>
                <w:lang w:val="en-US" w:eastAsia="zh-CN"/>
              </w:rPr>
              <w:t>□是     □否</w:t>
            </w:r>
          </w:p>
        </w:tc>
      </w:tr>
      <w:tr w14:paraId="39987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790" w:type="dxa"/>
            <w:gridSpan w:val="9"/>
            <w:tcBorders>
              <w:tl2br w:val="nil"/>
              <w:tr2bl w:val="nil"/>
            </w:tcBorders>
            <w:shd w:val="clear" w:color="auto" w:fill="AEAAAA" w:themeFill="background2" w:themeFillShade="BF"/>
            <w:noWrap w:val="0"/>
            <w:vAlign w:val="center"/>
          </w:tcPr>
          <w:p w14:paraId="26FAA113">
            <w:pPr>
              <w:ind w:left="0" w:leftChars="0" w:right="0" w:rightChars="0" w:firstLine="0" w:firstLineChars="0"/>
              <w:jc w:val="center"/>
              <w:rPr>
                <w:rFonts w:hint="default"/>
                <w:color w:val="auto"/>
                <w:sz w:val="18"/>
                <w:shd w:val="clear" w:color="auto" w:fill="auto"/>
                <w:lang w:val="en-US" w:eastAsia="zh-CN"/>
              </w:rPr>
            </w:pPr>
            <w:r>
              <w:rPr>
                <w:rFonts w:hint="eastAsia" w:ascii="宋体" w:hAnsi="宋体" w:eastAsia="宋体"/>
                <w:b/>
                <w:bCs/>
                <w:sz w:val="18"/>
                <w:szCs w:val="18"/>
                <w:lang w:val="en-US" w:eastAsia="zh-CN"/>
              </w:rPr>
              <w:t>（二）一般单位（适当性等级</w:t>
            </w:r>
            <w:r>
              <w:rPr>
                <w:rFonts w:hint="eastAsia" w:ascii="宋体" w:hAnsi="宋体" w:eastAsia="宋体"/>
                <w:b/>
                <w:bCs/>
                <w:sz w:val="18"/>
                <w:szCs w:val="18"/>
                <w:u w:val="single"/>
                <w:lang w:val="en-US" w:eastAsia="zh-CN"/>
              </w:rPr>
              <w:t xml:space="preserve">           </w:t>
            </w:r>
            <w:r>
              <w:rPr>
                <w:rFonts w:hint="eastAsia" w:ascii="宋体" w:hAnsi="宋体" w:eastAsia="宋体"/>
                <w:b/>
                <w:bCs/>
                <w:sz w:val="18"/>
                <w:szCs w:val="18"/>
                <w:lang w:val="en-US" w:eastAsia="zh-CN"/>
              </w:rPr>
              <w:t>）</w:t>
            </w:r>
          </w:p>
        </w:tc>
      </w:tr>
      <w:tr w14:paraId="41A79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shd w:val="clear" w:color="auto" w:fill="auto"/>
            <w:noWrap w:val="0"/>
            <w:vAlign w:val="center"/>
          </w:tcPr>
          <w:p w14:paraId="33DD1AAB">
            <w:pPr>
              <w:ind w:left="0" w:leftChars="0" w:right="0" w:rightChars="0" w:firstLine="0" w:firstLineChars="0"/>
              <w:jc w:val="both"/>
              <w:rPr>
                <w:rFonts w:hint="eastAsia" w:ascii="宋体" w:hAnsi="宋体" w:eastAsia="宋体"/>
                <w:b/>
                <w:bCs/>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身份证明文件是否有效、一致</w:t>
            </w:r>
          </w:p>
        </w:tc>
        <w:tc>
          <w:tcPr>
            <w:tcW w:w="5329" w:type="dxa"/>
            <w:gridSpan w:val="2"/>
            <w:tcBorders>
              <w:tl2br w:val="nil"/>
              <w:tr2bl w:val="nil"/>
            </w:tcBorders>
            <w:shd w:val="clear" w:color="auto" w:fill="auto"/>
            <w:noWrap w:val="0"/>
            <w:vAlign w:val="center"/>
          </w:tcPr>
          <w:p w14:paraId="0CFD3425">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4DE79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shd w:val="clear" w:color="auto" w:fill="auto"/>
            <w:noWrap w:val="0"/>
            <w:vAlign w:val="center"/>
          </w:tcPr>
          <w:p w14:paraId="22D3D0BD">
            <w:pPr>
              <w:ind w:left="0" w:leftChars="0" w:right="0" w:rightChars="0" w:firstLine="0" w:firstLineChars="0"/>
              <w:jc w:val="both"/>
              <w:rPr>
                <w:rFonts w:hint="eastAsia"/>
                <w:color w:val="000000"/>
                <w:sz w:val="18"/>
                <w:szCs w:val="18"/>
                <w:lang w:val="en-US" w:eastAsia="zh-CN"/>
              </w:rPr>
            </w:pPr>
            <w:r>
              <w:rPr>
                <w:rFonts w:hint="eastAsia" w:ascii="宋体" w:hAnsi="宋体" w:eastAsia="宋体" w:cs="宋体"/>
                <w:color w:val="000000"/>
                <w:sz w:val="18"/>
                <w:lang w:val="en-US" w:eastAsia="zh-CN"/>
              </w:rPr>
              <w:t>2.</w:t>
            </w:r>
            <w:r>
              <w:rPr>
                <w:rFonts w:hint="eastAsia"/>
                <w:color w:val="000000"/>
                <w:sz w:val="18"/>
                <w:lang w:val="en-US" w:eastAsia="zh-CN"/>
              </w:rPr>
              <w:t>具有健全的内控控制、风险管理等制度</w:t>
            </w:r>
          </w:p>
        </w:tc>
        <w:tc>
          <w:tcPr>
            <w:tcW w:w="5329" w:type="dxa"/>
            <w:gridSpan w:val="2"/>
            <w:tcBorders>
              <w:tl2br w:val="nil"/>
              <w:tr2bl w:val="nil"/>
            </w:tcBorders>
            <w:shd w:val="clear" w:color="auto" w:fill="auto"/>
            <w:noWrap w:val="0"/>
            <w:vAlign w:val="center"/>
          </w:tcPr>
          <w:p w14:paraId="44751168">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4BA9C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6461" w:type="dxa"/>
            <w:gridSpan w:val="7"/>
            <w:tcBorders>
              <w:tl2br w:val="nil"/>
              <w:tr2bl w:val="nil"/>
            </w:tcBorders>
            <w:shd w:val="clear" w:color="auto" w:fill="auto"/>
            <w:noWrap w:val="0"/>
            <w:vAlign w:val="center"/>
          </w:tcPr>
          <w:p w14:paraId="764C9DA6">
            <w:pPr>
              <w:numPr>
                <w:ilvl w:val="-1"/>
                <w:numId w:val="0"/>
              </w:numPr>
              <w:ind w:leftChars="0" w:right="0" w:rightChars="0"/>
              <w:jc w:val="both"/>
              <w:rPr>
                <w:rFonts w:hint="eastAsia" w:ascii="宋体" w:hAnsi="宋体" w:eastAsia="宋体" w:cs="宋体"/>
                <w:color w:val="000000"/>
                <w:sz w:val="18"/>
                <w:lang w:val="en-US" w:eastAsia="zh-CN"/>
              </w:rPr>
            </w:pPr>
            <w:r>
              <w:rPr>
                <w:rFonts w:hint="eastAsia" w:ascii="宋体" w:hAnsi="宋体" w:eastAsia="宋体" w:cs="宋体"/>
                <w:color w:val="000000"/>
                <w:sz w:val="18"/>
                <w:lang w:val="en-US" w:eastAsia="zh-CN"/>
              </w:rPr>
              <w:t>3.</w:t>
            </w:r>
            <w:r>
              <w:rPr>
                <w:rFonts w:hint="eastAsia"/>
                <w:color w:val="000000"/>
                <w:sz w:val="18"/>
                <w:lang w:val="en-US" w:eastAsia="zh-CN"/>
              </w:rPr>
              <w:t>期货基础知识测试成绩</w:t>
            </w:r>
            <w:r>
              <w:rPr>
                <w:rFonts w:hint="eastAsia" w:ascii="宋体" w:hAnsi="宋体" w:eastAsia="宋体" w:cs="宋体"/>
                <w:color w:val="000000"/>
                <w:sz w:val="18"/>
                <w:lang w:val="en-US" w:eastAsia="zh-CN"/>
              </w:rPr>
              <w:t>80分以上</w:t>
            </w:r>
            <w:r>
              <w:rPr>
                <w:rFonts w:hint="eastAsia"/>
                <w:color w:val="000000"/>
                <w:sz w:val="18"/>
                <w:lang w:val="en-US" w:eastAsia="zh-CN"/>
              </w:rPr>
              <w:t>（指令下单人）</w:t>
            </w:r>
            <w:r>
              <w:rPr>
                <w:rFonts w:hint="eastAsia" w:ascii="宋体" w:hAnsi="宋体" w:eastAsia="宋体"/>
                <w:sz w:val="18"/>
                <w:szCs w:val="21"/>
                <w:lang w:eastAsia="zh-CN"/>
              </w:rPr>
              <w:t>（</w:t>
            </w:r>
            <w:r>
              <w:rPr>
                <w:rFonts w:hint="eastAsia" w:ascii="宋体" w:hAnsi="宋体" w:eastAsia="宋体"/>
                <w:sz w:val="18"/>
                <w:szCs w:val="21"/>
                <w:lang w:val="en-US" w:eastAsia="zh-CN"/>
              </w:rPr>
              <w:t>非二次开户及豁免）</w:t>
            </w:r>
          </w:p>
        </w:tc>
        <w:tc>
          <w:tcPr>
            <w:tcW w:w="5329" w:type="dxa"/>
            <w:gridSpan w:val="2"/>
            <w:tcBorders>
              <w:tl2br w:val="nil"/>
              <w:tr2bl w:val="nil"/>
            </w:tcBorders>
            <w:shd w:val="clear" w:color="auto" w:fill="auto"/>
            <w:noWrap w:val="0"/>
            <w:vAlign w:val="center"/>
          </w:tcPr>
          <w:p w14:paraId="02AA81B0">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79516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790" w:type="dxa"/>
            <w:gridSpan w:val="9"/>
            <w:tcBorders>
              <w:tl2br w:val="nil"/>
              <w:tr2bl w:val="nil"/>
            </w:tcBorders>
            <w:shd w:val="clear" w:color="auto" w:fill="AEAAAA" w:themeFill="background2" w:themeFillShade="BF"/>
            <w:noWrap w:val="0"/>
            <w:vAlign w:val="center"/>
          </w:tcPr>
          <w:p w14:paraId="601D597D">
            <w:pPr>
              <w:ind w:left="0" w:leftChars="0" w:right="0" w:rightChars="0" w:firstLine="0" w:firstLineChars="0"/>
              <w:jc w:val="center"/>
              <w:rPr>
                <w:rFonts w:hint="default"/>
                <w:color w:val="000000"/>
                <w:sz w:val="18"/>
                <w:lang w:val="en-US" w:eastAsia="zh-CN"/>
              </w:rPr>
            </w:pPr>
            <w:r>
              <w:rPr>
                <w:rFonts w:hint="eastAsia" w:ascii="宋体" w:hAnsi="宋体" w:eastAsia="宋体"/>
                <w:b/>
                <w:bCs/>
                <w:sz w:val="18"/>
                <w:szCs w:val="18"/>
                <w:shd w:val="clear" w:fill="AEAAAA" w:themeFill="background2" w:themeFillShade="BF"/>
                <w:lang w:val="en-US" w:eastAsia="zh-CN"/>
              </w:rPr>
              <w:t>（三）特殊单位客户</w:t>
            </w:r>
          </w:p>
        </w:tc>
      </w:tr>
      <w:tr w14:paraId="75647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bottom w:val="single" w:color="auto" w:sz="4" w:space="0"/>
              <w:tl2br w:val="nil"/>
              <w:tr2bl w:val="nil"/>
            </w:tcBorders>
            <w:shd w:val="clear" w:color="auto" w:fill="auto"/>
            <w:noWrap w:val="0"/>
            <w:vAlign w:val="center"/>
          </w:tcPr>
          <w:p w14:paraId="0E69B253">
            <w:pPr>
              <w:ind w:left="0" w:leftChars="0" w:right="0" w:rightChars="0" w:firstLine="0" w:firstLineChars="0"/>
              <w:jc w:val="both"/>
              <w:rPr>
                <w:rFonts w:hint="eastAsia" w:ascii="宋体" w:hAnsi="宋体" w:eastAsia="宋体" w:cs="宋体"/>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r>
              <w:rPr>
                <w:rFonts w:hint="eastAsia" w:ascii="宋体" w:hAnsi="宋体" w:eastAsia="宋体" w:cs="宋体"/>
                <w:color w:val="000000"/>
                <w:sz w:val="18"/>
                <w:szCs w:val="18"/>
              </w:rPr>
              <w:t>身份证明文件是否有效</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一致</w:t>
            </w:r>
          </w:p>
        </w:tc>
        <w:tc>
          <w:tcPr>
            <w:tcW w:w="5329" w:type="dxa"/>
            <w:gridSpan w:val="2"/>
            <w:tcBorders>
              <w:bottom w:val="single" w:color="auto" w:sz="4" w:space="0"/>
              <w:tl2br w:val="nil"/>
              <w:tr2bl w:val="nil"/>
            </w:tcBorders>
            <w:shd w:val="clear" w:color="auto" w:fill="auto"/>
            <w:noWrap w:val="0"/>
            <w:vAlign w:val="center"/>
          </w:tcPr>
          <w:p w14:paraId="42DA663D">
            <w:pPr>
              <w:ind w:left="0" w:leftChars="0" w:right="0" w:rightChars="0" w:firstLine="0" w:firstLineChars="0"/>
              <w:jc w:val="center"/>
              <w:rPr>
                <w:rFonts w:hint="eastAsia"/>
                <w:color w:val="000000"/>
                <w:sz w:val="18"/>
                <w:lang w:eastAsia="zh-CN"/>
              </w:rPr>
            </w:pPr>
            <w:r>
              <w:rPr>
                <w:rFonts w:hint="eastAsia"/>
                <w:color w:val="000000"/>
                <w:sz w:val="18"/>
                <w:lang w:val="en-US" w:eastAsia="zh-CN"/>
              </w:rPr>
              <w:t>□是     □否</w:t>
            </w:r>
          </w:p>
        </w:tc>
      </w:tr>
      <w:tr w14:paraId="3BAFB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op w:val="single" w:color="auto" w:sz="4" w:space="0"/>
              <w:bottom w:val="single" w:color="auto" w:sz="12" w:space="0"/>
              <w:tl2br w:val="nil"/>
              <w:tr2bl w:val="nil"/>
            </w:tcBorders>
            <w:shd w:val="clear" w:color="auto" w:fill="auto"/>
            <w:noWrap w:val="0"/>
            <w:vAlign w:val="center"/>
          </w:tcPr>
          <w:p w14:paraId="5D030294">
            <w:pPr>
              <w:ind w:left="0" w:leftChars="0" w:right="0" w:rightChars="0" w:firstLine="0" w:firstLineChars="0"/>
              <w:jc w:val="both"/>
              <w:rPr>
                <w:rFonts w:hint="eastAsia" w:asciiTheme="minorEastAsia" w:hAnsiTheme="minorEastAsia" w:eastAsiaTheme="minorEastAsia" w:cstheme="minorEastAsia"/>
                <w:color w:val="000000"/>
                <w:sz w:val="18"/>
                <w:szCs w:val="18"/>
                <w:lang w:val="en-US" w:eastAsia="zh-CN"/>
              </w:rPr>
            </w:pPr>
            <w:r>
              <w:rPr>
                <w:rFonts w:hint="eastAsia" w:ascii="宋体" w:hAnsi="宋体" w:eastAsia="宋体" w:cs="宋体"/>
                <w:color w:val="000000"/>
                <w:sz w:val="18"/>
                <w:lang w:val="en-US" w:eastAsia="zh-CN"/>
              </w:rPr>
              <w:t>2.</w:t>
            </w:r>
            <w:r>
              <w:rPr>
                <w:rFonts w:hint="eastAsia"/>
                <w:color w:val="000000"/>
                <w:sz w:val="18"/>
                <w:lang w:val="en-US" w:eastAsia="zh-CN"/>
              </w:rPr>
              <w:t>具有健全的内控控制、风险管理等制度</w:t>
            </w:r>
          </w:p>
        </w:tc>
        <w:tc>
          <w:tcPr>
            <w:tcW w:w="5329" w:type="dxa"/>
            <w:gridSpan w:val="2"/>
            <w:tcBorders>
              <w:top w:val="single" w:color="auto" w:sz="4" w:space="0"/>
              <w:bottom w:val="single" w:color="auto" w:sz="12" w:space="0"/>
              <w:tl2br w:val="nil"/>
              <w:tr2bl w:val="nil"/>
            </w:tcBorders>
            <w:shd w:val="clear" w:color="auto" w:fill="auto"/>
            <w:noWrap w:val="0"/>
            <w:vAlign w:val="center"/>
          </w:tcPr>
          <w:p w14:paraId="1A21598E">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022F4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11790" w:type="dxa"/>
            <w:gridSpan w:val="9"/>
            <w:tcBorders>
              <w:tl2br w:val="nil"/>
              <w:tr2bl w:val="nil"/>
            </w:tcBorders>
            <w:shd w:val="clear" w:color="auto" w:fill="AEAAAA" w:themeFill="background2" w:themeFillShade="BF"/>
            <w:noWrap w:val="0"/>
            <w:vAlign w:val="center"/>
          </w:tcPr>
          <w:p w14:paraId="69126EDE">
            <w:pPr>
              <w:spacing w:line="240" w:lineRule="auto"/>
              <w:ind w:right="0" w:rightChars="0"/>
              <w:jc w:val="center"/>
              <w:rPr>
                <w:rFonts w:hint="eastAsia"/>
                <w:color w:val="000000"/>
                <w:sz w:val="18"/>
                <w:lang w:val="en-US" w:eastAsia="zh-CN"/>
              </w:rPr>
            </w:pPr>
            <w:r>
              <w:rPr>
                <w:rFonts w:hint="eastAsia" w:ascii="宋体" w:hAnsi="宋体" w:eastAsia="宋体"/>
                <w:b/>
                <w:bCs/>
                <w:sz w:val="18"/>
                <w:szCs w:val="18"/>
                <w:lang w:val="en-US" w:eastAsia="zh-CN"/>
              </w:rPr>
              <w:t>三、期货公司业务审核</w:t>
            </w:r>
          </w:p>
        </w:tc>
      </w:tr>
      <w:tr w14:paraId="231AA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554" w:type="dxa"/>
            <w:gridSpan w:val="3"/>
            <w:tcBorders>
              <w:tl2br w:val="nil"/>
              <w:tr2bl w:val="nil"/>
            </w:tcBorders>
            <w:noWrap w:val="0"/>
            <w:vAlign w:val="center"/>
          </w:tcPr>
          <w:p w14:paraId="70D126A7">
            <w:pPr>
              <w:numPr>
                <w:ilvl w:val="0"/>
                <w:numId w:val="0"/>
              </w:numPr>
              <w:spacing w:line="240" w:lineRule="auto"/>
              <w:ind w:right="0" w:rightChars="0"/>
              <w:jc w:val="both"/>
              <w:rPr>
                <w:rFonts w:hint="eastAsia" w:ascii="宋体" w:hAnsi="宋体" w:eastAsia="宋体"/>
                <w:sz w:val="18"/>
                <w:szCs w:val="21"/>
              </w:rPr>
            </w:pPr>
            <w:r>
              <w:rPr>
                <w:rFonts w:hint="eastAsia" w:ascii="宋体" w:hAnsi="宋体" w:eastAsia="宋体"/>
                <w:sz w:val="18"/>
                <w:szCs w:val="21"/>
                <w:lang w:val="en-US" w:eastAsia="zh-CN"/>
              </w:rPr>
              <w:t>1.</w:t>
            </w:r>
            <w:r>
              <w:rPr>
                <w:rFonts w:hint="eastAsia" w:ascii="宋体" w:hAnsi="宋体" w:eastAsia="宋体"/>
                <w:sz w:val="18"/>
                <w:szCs w:val="21"/>
              </w:rPr>
              <w:t>保证金账户可用资金余额</w:t>
            </w:r>
          </w:p>
          <w:p w14:paraId="3CD0746C">
            <w:pPr>
              <w:numPr>
                <w:ilvl w:val="0"/>
                <w:numId w:val="0"/>
              </w:numPr>
              <w:spacing w:line="240" w:lineRule="auto"/>
              <w:ind w:right="0" w:rightChars="0" w:firstLine="540" w:firstLineChars="300"/>
              <w:jc w:val="both"/>
              <w:rPr>
                <w:rFonts w:hint="eastAsia" w:ascii="宋体" w:hAnsi="宋体" w:eastAsia="宋体"/>
                <w:sz w:val="18"/>
                <w:szCs w:val="21"/>
                <w:lang w:eastAsia="zh-CN"/>
              </w:rPr>
            </w:pPr>
            <w:r>
              <w:rPr>
                <w:rFonts w:hint="eastAsia" w:ascii="宋体" w:hAnsi="宋体" w:eastAsia="宋体"/>
                <w:sz w:val="18"/>
                <w:szCs w:val="21"/>
                <w:lang w:eastAsia="zh-CN"/>
              </w:rPr>
              <w:t>（</w:t>
            </w:r>
            <w:r>
              <w:rPr>
                <w:rFonts w:hint="eastAsia" w:ascii="宋体" w:hAnsi="宋体" w:eastAsia="宋体"/>
                <w:sz w:val="18"/>
                <w:szCs w:val="21"/>
                <w:lang w:val="en-US" w:eastAsia="zh-CN"/>
              </w:rPr>
              <w:t>非二次开户）</w:t>
            </w:r>
          </w:p>
        </w:tc>
        <w:tc>
          <w:tcPr>
            <w:tcW w:w="9236" w:type="dxa"/>
            <w:gridSpan w:val="6"/>
            <w:tcBorders>
              <w:tl2br w:val="nil"/>
              <w:tr2bl w:val="nil"/>
            </w:tcBorders>
            <w:noWrap w:val="0"/>
            <w:vAlign w:val="center"/>
          </w:tcPr>
          <w:p w14:paraId="2894AEE5">
            <w:pPr>
              <w:jc w:val="both"/>
              <w:rPr>
                <w:rFonts w:hint="eastAsia" w:ascii="宋体" w:hAnsi="宋体" w:cs="宋体"/>
                <w:sz w:val="18"/>
                <w:szCs w:val="18"/>
              </w:rPr>
            </w:pPr>
            <w:r>
              <w:rPr>
                <w:rFonts w:hint="eastAsia" w:ascii="宋体" w:hAnsi="宋体" w:cs="宋体"/>
                <w:sz w:val="18"/>
                <w:szCs w:val="18"/>
              </w:rPr>
              <w:t>申请前五个交易日</w:t>
            </w:r>
            <w:r>
              <w:rPr>
                <w:rFonts w:hint="eastAsia" w:ascii="宋体" w:hAnsi="宋体" w:cs="宋体"/>
                <w:b/>
                <w:bCs/>
                <w:sz w:val="18"/>
                <w:szCs w:val="18"/>
                <w:lang w:val="en-US" w:eastAsia="zh-CN"/>
              </w:rPr>
              <w:t>可用资金</w:t>
            </w:r>
            <w:r>
              <w:rPr>
                <w:rFonts w:hint="eastAsia" w:ascii="宋体" w:hAnsi="宋体" w:cs="宋体"/>
                <w:sz w:val="18"/>
                <w:szCs w:val="18"/>
                <w:lang w:val="en-US" w:eastAsia="zh-CN"/>
              </w:rPr>
              <w:t>最低余额满足</w:t>
            </w:r>
            <w:r>
              <w:rPr>
                <w:rFonts w:hint="eastAsia" w:ascii="宋体" w:hAnsi="宋体" w:cs="宋体"/>
                <w:sz w:val="18"/>
                <w:szCs w:val="18"/>
              </w:rPr>
              <w:t>：</w:t>
            </w:r>
            <w:r>
              <w:rPr>
                <w:rFonts w:hint="eastAsia" w:ascii="宋体" w:hAnsi="宋体" w:cs="宋体"/>
                <w:sz w:val="18"/>
                <w:szCs w:val="18"/>
                <w:u w:val="single"/>
                <w:lang w:val="en-US" w:eastAsia="zh-CN"/>
              </w:rPr>
              <w:t xml:space="preserve">             </w:t>
            </w:r>
            <w:r>
              <w:rPr>
                <w:rFonts w:hint="eastAsia" w:ascii="宋体" w:hAnsi="宋体" w:cs="宋体"/>
                <w:sz w:val="18"/>
                <w:szCs w:val="18"/>
              </w:rPr>
              <w:t xml:space="preserve">万元    </w:t>
            </w:r>
          </w:p>
          <w:p w14:paraId="6BD0B320">
            <w:pPr>
              <w:tabs>
                <w:tab w:val="left" w:pos="540"/>
                <w:tab w:val="left" w:pos="1440"/>
                <w:tab w:val="left" w:pos="1620"/>
                <w:tab w:val="left" w:pos="1701"/>
                <w:tab w:val="left" w:pos="1800"/>
              </w:tabs>
              <w:jc w:val="left"/>
            </w:pPr>
            <w:r>
              <w:rPr>
                <w:rFonts w:hint="eastAsia" w:ascii="宋体" w:hAnsi="宋体" w:cs="宋体"/>
                <w:sz w:val="18"/>
                <w:szCs w:val="18"/>
              </w:rPr>
              <w:t>余额日期：</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年</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月</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日至</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年</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月</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 xml:space="preserve">日 </w:t>
            </w:r>
            <w:r>
              <w:rPr>
                <w:rFonts w:hint="eastAsia" w:ascii="宋体" w:hAnsi="宋体" w:eastAsia="宋体" w:cs="宋体"/>
                <w:sz w:val="18"/>
                <w:szCs w:val="18"/>
                <w:u w:val="none"/>
                <w:lang w:val="en-US" w:eastAsia="zh-CN"/>
              </w:rPr>
              <w:t xml:space="preserve">       </w:t>
            </w:r>
          </w:p>
        </w:tc>
      </w:tr>
      <w:tr w14:paraId="1FD58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2554" w:type="dxa"/>
            <w:gridSpan w:val="3"/>
            <w:vMerge w:val="restart"/>
            <w:tcBorders>
              <w:tl2br w:val="nil"/>
              <w:tr2bl w:val="nil"/>
            </w:tcBorders>
            <w:noWrap w:val="0"/>
            <w:vAlign w:val="center"/>
          </w:tcPr>
          <w:p w14:paraId="63FB873B">
            <w:pPr>
              <w:numPr>
                <w:ilvl w:val="0"/>
                <w:numId w:val="0"/>
              </w:numPr>
              <w:spacing w:line="240" w:lineRule="auto"/>
              <w:ind w:right="0" w:rightChars="0"/>
              <w:jc w:val="both"/>
              <w:rPr>
                <w:rFonts w:hint="eastAsia" w:ascii="宋体" w:hAnsi="宋体" w:eastAsia="宋体"/>
                <w:sz w:val="18"/>
                <w:szCs w:val="21"/>
              </w:rPr>
            </w:pPr>
            <w:r>
              <w:rPr>
                <w:rFonts w:hint="eastAsia" w:ascii="宋体" w:hAnsi="宋体" w:eastAsia="宋体"/>
                <w:sz w:val="18"/>
                <w:szCs w:val="21"/>
                <w:lang w:val="en-US" w:eastAsia="zh-CN"/>
              </w:rPr>
              <w:t>2.期货</w:t>
            </w:r>
            <w:r>
              <w:rPr>
                <w:rFonts w:hint="eastAsia" w:ascii="宋体" w:hAnsi="宋体" w:eastAsia="宋体"/>
                <w:sz w:val="18"/>
                <w:szCs w:val="21"/>
              </w:rPr>
              <w:t>交易经历（二选一）</w:t>
            </w:r>
          </w:p>
          <w:p w14:paraId="043F8C1A">
            <w:pPr>
              <w:numPr>
                <w:ilvl w:val="0"/>
                <w:numId w:val="0"/>
              </w:numPr>
              <w:spacing w:line="240" w:lineRule="auto"/>
              <w:ind w:right="0" w:rightChars="0" w:firstLine="540" w:firstLineChars="300"/>
              <w:jc w:val="both"/>
              <w:rPr>
                <w:rFonts w:hint="eastAsia" w:ascii="宋体" w:hAnsi="宋体" w:eastAsia="宋体"/>
                <w:sz w:val="18"/>
                <w:szCs w:val="21"/>
              </w:rPr>
            </w:pPr>
            <w:r>
              <w:rPr>
                <w:rFonts w:hint="eastAsia" w:ascii="宋体" w:hAnsi="宋体" w:eastAsia="宋体"/>
                <w:sz w:val="18"/>
                <w:szCs w:val="21"/>
                <w:lang w:eastAsia="zh-CN"/>
              </w:rPr>
              <w:t>（</w:t>
            </w:r>
            <w:r>
              <w:rPr>
                <w:rFonts w:hint="eastAsia" w:ascii="宋体" w:hAnsi="宋体" w:eastAsia="宋体"/>
                <w:sz w:val="18"/>
                <w:szCs w:val="21"/>
                <w:lang w:val="en-US" w:eastAsia="zh-CN"/>
              </w:rPr>
              <w:t>非二次开户）</w:t>
            </w:r>
          </w:p>
        </w:tc>
        <w:tc>
          <w:tcPr>
            <w:tcW w:w="1288" w:type="dxa"/>
            <w:tcBorders>
              <w:tl2br w:val="nil"/>
              <w:tr2bl w:val="nil"/>
            </w:tcBorders>
            <w:noWrap w:val="0"/>
            <w:vAlign w:val="center"/>
          </w:tcPr>
          <w:p w14:paraId="310C4C58">
            <w:pPr>
              <w:spacing w:line="240" w:lineRule="auto"/>
              <w:ind w:left="0" w:leftChars="0" w:right="0" w:rightChars="0" w:firstLine="0" w:firstLineChars="0"/>
              <w:jc w:val="left"/>
              <w:rPr>
                <w:rFonts w:hint="eastAsia" w:ascii="宋体" w:hAnsi="宋体" w:eastAsia="宋体"/>
                <w:sz w:val="18"/>
                <w:szCs w:val="21"/>
                <w:lang w:eastAsia="zh-CN"/>
              </w:rPr>
            </w:pPr>
            <w:r>
              <w:rPr>
                <w:rFonts w:hint="eastAsia" w:ascii="宋体" w:hAnsi="宋体" w:eastAsia="宋体"/>
                <w:sz w:val="18"/>
                <w:szCs w:val="21"/>
                <w:lang w:eastAsia="zh-CN"/>
              </w:rPr>
              <w:t>□</w:t>
            </w:r>
            <w:r>
              <w:rPr>
                <w:rFonts w:hint="eastAsia" w:ascii="宋体" w:hAnsi="宋体" w:eastAsia="宋体"/>
                <w:sz w:val="18"/>
                <w:szCs w:val="21"/>
              </w:rPr>
              <w:t>仿真交易</w:t>
            </w:r>
          </w:p>
        </w:tc>
        <w:tc>
          <w:tcPr>
            <w:tcW w:w="7948" w:type="dxa"/>
            <w:gridSpan w:val="5"/>
            <w:tcBorders>
              <w:tl2br w:val="nil"/>
              <w:tr2bl w:val="nil"/>
            </w:tcBorders>
            <w:noWrap w:val="0"/>
            <w:vAlign w:val="center"/>
          </w:tcPr>
          <w:p w14:paraId="0BF61343">
            <w:pPr>
              <w:spacing w:line="240" w:lineRule="auto"/>
              <w:ind w:left="0" w:leftChars="0" w:right="0" w:rightChars="0" w:firstLine="0" w:firstLineChars="0"/>
              <w:jc w:val="left"/>
              <w:rPr>
                <w:rFonts w:hint="eastAsia" w:ascii="宋体" w:hAnsi="宋体" w:eastAsia="宋体"/>
                <w:sz w:val="18"/>
                <w:szCs w:val="21"/>
                <w:lang w:eastAsia="zh-CN"/>
              </w:rPr>
            </w:pPr>
            <w:r>
              <w:rPr>
                <w:rFonts w:hint="eastAsia"/>
                <w:color w:val="000000"/>
                <w:sz w:val="18"/>
                <w:szCs w:val="18"/>
                <w:lang w:val="en-US" w:eastAsia="zh-CN"/>
              </w:rPr>
              <w:t>□仿真交易记录(累计10个交易日20笔（含）以上成交记录)</w:t>
            </w:r>
          </w:p>
        </w:tc>
      </w:tr>
      <w:tr w14:paraId="59DF5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2554" w:type="dxa"/>
            <w:gridSpan w:val="3"/>
            <w:vMerge w:val="continue"/>
            <w:tcBorders>
              <w:tl2br w:val="nil"/>
              <w:tr2bl w:val="nil"/>
            </w:tcBorders>
            <w:noWrap w:val="0"/>
            <w:vAlign w:val="center"/>
          </w:tcPr>
          <w:p w14:paraId="54E8B288">
            <w:pPr>
              <w:adjustRightInd w:val="0"/>
              <w:snapToGrid w:val="0"/>
              <w:spacing w:line="240" w:lineRule="auto"/>
              <w:ind w:left="0" w:leftChars="0" w:right="0" w:rightChars="0" w:firstLine="0" w:firstLineChars="0"/>
              <w:jc w:val="center"/>
              <w:rPr>
                <w:rFonts w:ascii="宋体" w:hAnsi="宋体" w:eastAsia="宋体"/>
                <w:sz w:val="18"/>
                <w:szCs w:val="21"/>
              </w:rPr>
            </w:pPr>
          </w:p>
        </w:tc>
        <w:tc>
          <w:tcPr>
            <w:tcW w:w="1288" w:type="dxa"/>
            <w:vMerge w:val="restart"/>
            <w:tcBorders>
              <w:tl2br w:val="nil"/>
              <w:tr2bl w:val="nil"/>
            </w:tcBorders>
            <w:noWrap w:val="0"/>
            <w:vAlign w:val="center"/>
          </w:tcPr>
          <w:p w14:paraId="169FFC68">
            <w:pPr>
              <w:spacing w:line="240" w:lineRule="auto"/>
              <w:ind w:left="0" w:leftChars="0" w:right="0" w:rightChars="0" w:firstLine="0" w:firstLineChars="0"/>
              <w:jc w:val="left"/>
              <w:rPr>
                <w:rFonts w:hint="eastAsia" w:ascii="宋体" w:hAnsi="宋体" w:eastAsia="宋体"/>
                <w:b w:val="0"/>
                <w:bCs w:val="0"/>
                <w:sz w:val="18"/>
                <w:szCs w:val="18"/>
                <w:lang w:val="en-US" w:eastAsia="zh-CN"/>
              </w:rPr>
            </w:pPr>
            <w:r>
              <w:rPr>
                <w:rFonts w:hint="eastAsia" w:ascii="宋体" w:hAnsi="宋体" w:eastAsia="宋体"/>
                <w:sz w:val="18"/>
                <w:szCs w:val="21"/>
              </w:rPr>
              <w:t>□真实交易</w:t>
            </w:r>
          </w:p>
        </w:tc>
        <w:tc>
          <w:tcPr>
            <w:tcW w:w="7948" w:type="dxa"/>
            <w:gridSpan w:val="5"/>
            <w:tcBorders>
              <w:tl2br w:val="nil"/>
              <w:tr2bl w:val="nil"/>
            </w:tcBorders>
            <w:noWrap w:val="0"/>
            <w:vAlign w:val="center"/>
          </w:tcPr>
          <w:p w14:paraId="200FC0A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rPr>
                <w:rFonts w:hint="eastAsia" w:ascii="宋体" w:hAnsi="宋体" w:eastAsia="宋体"/>
                <w:b w:val="0"/>
                <w:bCs w:val="0"/>
                <w:sz w:val="18"/>
                <w:szCs w:val="18"/>
                <w:lang w:val="en-US" w:eastAsia="zh-CN"/>
              </w:rPr>
            </w:pPr>
            <w:r>
              <w:rPr>
                <w:rFonts w:hint="eastAsia"/>
                <w:color w:val="000000"/>
                <w:sz w:val="18"/>
                <w:szCs w:val="18"/>
                <w:lang w:val="en-US" w:eastAsia="zh-CN"/>
              </w:rPr>
              <w:t>□境内交易场所期货、期权或集中清算的其他衍生品交易(最近三年内10笔（含）以上成交记录)</w:t>
            </w:r>
          </w:p>
        </w:tc>
      </w:tr>
      <w:tr w14:paraId="0F83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2554" w:type="dxa"/>
            <w:gridSpan w:val="3"/>
            <w:vMerge w:val="continue"/>
            <w:tcBorders>
              <w:tl2br w:val="nil"/>
              <w:tr2bl w:val="nil"/>
            </w:tcBorders>
            <w:noWrap w:val="0"/>
            <w:vAlign w:val="center"/>
          </w:tcPr>
          <w:p w14:paraId="1A00CE64">
            <w:pPr>
              <w:adjustRightInd w:val="0"/>
              <w:snapToGrid w:val="0"/>
              <w:spacing w:line="240" w:lineRule="auto"/>
              <w:ind w:left="0" w:leftChars="0" w:right="0" w:rightChars="0" w:firstLine="0" w:firstLineChars="0"/>
              <w:jc w:val="center"/>
              <w:rPr>
                <w:rFonts w:ascii="宋体" w:hAnsi="宋体" w:eastAsia="宋体"/>
                <w:sz w:val="18"/>
                <w:szCs w:val="21"/>
              </w:rPr>
            </w:pPr>
          </w:p>
        </w:tc>
        <w:tc>
          <w:tcPr>
            <w:tcW w:w="1288" w:type="dxa"/>
            <w:vMerge w:val="continue"/>
            <w:tcBorders>
              <w:tl2br w:val="nil"/>
              <w:tr2bl w:val="nil"/>
            </w:tcBorders>
            <w:noWrap w:val="0"/>
            <w:vAlign w:val="center"/>
          </w:tcPr>
          <w:p w14:paraId="6A42F7BC">
            <w:pPr>
              <w:spacing w:line="240" w:lineRule="auto"/>
              <w:ind w:left="0" w:leftChars="0" w:right="0" w:rightChars="0" w:firstLine="0" w:firstLineChars="0"/>
              <w:jc w:val="center"/>
              <w:rPr>
                <w:rFonts w:hint="eastAsia" w:ascii="宋体" w:hAnsi="宋体" w:eastAsia="宋体"/>
                <w:sz w:val="18"/>
                <w:szCs w:val="21"/>
              </w:rPr>
            </w:pPr>
          </w:p>
        </w:tc>
        <w:tc>
          <w:tcPr>
            <w:tcW w:w="7948" w:type="dxa"/>
            <w:gridSpan w:val="5"/>
            <w:tcBorders>
              <w:tl2br w:val="nil"/>
              <w:tr2bl w:val="nil"/>
            </w:tcBorders>
            <w:noWrap w:val="0"/>
            <w:vAlign w:val="center"/>
          </w:tcPr>
          <w:p w14:paraId="08CD18EF">
            <w:pPr>
              <w:ind w:left="0" w:leftChars="0" w:right="0" w:rightChars="0" w:firstLine="0" w:firstLineChars="0"/>
              <w:jc w:val="left"/>
              <w:rPr>
                <w:rFonts w:hint="eastAsia" w:ascii="宋体" w:hAnsi="宋体" w:eastAsia="宋体"/>
                <w:b w:val="0"/>
                <w:bCs w:val="0"/>
                <w:sz w:val="18"/>
                <w:szCs w:val="18"/>
                <w:lang w:val="en-US" w:eastAsia="zh-CN"/>
              </w:rPr>
            </w:pPr>
            <w:r>
              <w:rPr>
                <w:rFonts w:hint="eastAsia"/>
                <w:color w:val="000000"/>
                <w:sz w:val="18"/>
                <w:szCs w:val="18"/>
                <w:lang w:val="en-US" w:eastAsia="zh-CN"/>
              </w:rPr>
              <w:t>□境外交易场所期货、期权或集中清算的其他衍生品交易(最近三年内10笔（含）以上成交记录)</w:t>
            </w:r>
          </w:p>
        </w:tc>
      </w:tr>
      <w:tr w14:paraId="1AFE6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2554" w:type="dxa"/>
            <w:gridSpan w:val="3"/>
            <w:vMerge w:val="restart"/>
            <w:tcBorders>
              <w:tl2br w:val="nil"/>
              <w:tr2bl w:val="nil"/>
            </w:tcBorders>
            <w:noWrap w:val="0"/>
            <w:vAlign w:val="center"/>
          </w:tcPr>
          <w:p w14:paraId="4AA13FB1">
            <w:pPr>
              <w:spacing w:line="240" w:lineRule="auto"/>
              <w:ind w:left="0" w:leftChars="0" w:right="0" w:rightChars="0" w:firstLine="0" w:firstLineChars="0"/>
              <w:jc w:val="both"/>
              <w:rPr>
                <w:rFonts w:hint="default" w:ascii="宋体" w:hAnsi="宋体" w:eastAsia="宋体"/>
                <w:sz w:val="18"/>
                <w:szCs w:val="21"/>
                <w:lang w:val="en-US" w:eastAsia="zh-CN"/>
              </w:rPr>
            </w:pPr>
            <w:r>
              <w:rPr>
                <w:rFonts w:hint="eastAsia" w:ascii="宋体" w:hAnsi="宋体" w:eastAsia="宋体"/>
                <w:sz w:val="18"/>
                <w:szCs w:val="21"/>
                <w:lang w:val="en-US" w:eastAsia="zh-CN"/>
              </w:rPr>
              <w:t>3.豁免及二开证明材料</w:t>
            </w:r>
          </w:p>
        </w:tc>
        <w:tc>
          <w:tcPr>
            <w:tcW w:w="9236" w:type="dxa"/>
            <w:gridSpan w:val="6"/>
            <w:tcBorders>
              <w:tl2br w:val="nil"/>
              <w:tr2bl w:val="nil"/>
            </w:tcBorders>
            <w:noWrap w:val="0"/>
            <w:vAlign w:val="center"/>
          </w:tcPr>
          <w:p w14:paraId="76AF38A1">
            <w:pPr>
              <w:spacing w:line="240" w:lineRule="auto"/>
              <w:ind w:left="0" w:leftChars="0" w:right="0" w:rightChars="0" w:firstLine="0" w:firstLineChars="0"/>
              <w:jc w:val="both"/>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w:t>
            </w:r>
            <w:r>
              <w:rPr>
                <w:rFonts w:hint="eastAsia" w:ascii="宋体" w:hAnsi="宋体" w:eastAsia="宋体" w:cs="宋体"/>
                <w:color w:val="000000"/>
                <w:kern w:val="0"/>
                <w:sz w:val="18"/>
                <w:szCs w:val="18"/>
              </w:rPr>
              <w:t>具有其他境内期货交易所上市的实行适当性制度的上市品种交易权限</w:t>
            </w:r>
            <w:r>
              <w:rPr>
                <w:rFonts w:hint="eastAsia"/>
                <w:color w:val="000000"/>
                <w:sz w:val="18"/>
                <w:szCs w:val="18"/>
                <w:lang w:val="en-US" w:eastAsia="zh-CN"/>
              </w:rPr>
              <w:t>（</w:t>
            </w:r>
            <w:r>
              <w:rPr>
                <w:rFonts w:hint="eastAsia"/>
                <w:b/>
                <w:bCs/>
                <w:color w:val="000000"/>
                <w:sz w:val="18"/>
                <w:szCs w:val="18"/>
                <w:lang w:val="en-US" w:eastAsia="zh-CN"/>
              </w:rPr>
              <w:t>资金要求：</w:t>
            </w:r>
            <w:r>
              <w:rPr>
                <w:rFonts w:hint="eastAsia"/>
                <w:color w:val="000000"/>
                <w:sz w:val="18"/>
                <w:szCs w:val="18"/>
                <w:lang w:val="en-US" w:eastAsia="zh-CN"/>
              </w:rPr>
              <w:t>□是  □否）</w:t>
            </w:r>
          </w:p>
        </w:tc>
      </w:tr>
      <w:tr w14:paraId="7ED05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66F19604">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5FA682C1">
            <w:pPr>
              <w:spacing w:line="240" w:lineRule="auto"/>
              <w:ind w:left="0" w:leftChars="0" w:right="0" w:rightChars="0" w:firstLine="0" w:firstLineChars="0"/>
              <w:jc w:val="both"/>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□具有该交易所内已实行适当性制度资金要求的品种</w:t>
            </w:r>
            <w:r>
              <w:rPr>
                <w:rFonts w:hint="eastAsia"/>
                <w:color w:val="000000"/>
                <w:sz w:val="18"/>
                <w:szCs w:val="18"/>
                <w:lang w:val="en-US" w:eastAsia="zh-CN"/>
              </w:rPr>
              <w:t>（</w:t>
            </w:r>
            <w:r>
              <w:rPr>
                <w:rFonts w:hint="eastAsia"/>
                <w:b/>
                <w:bCs/>
                <w:color w:val="000000"/>
                <w:sz w:val="18"/>
                <w:szCs w:val="18"/>
                <w:lang w:val="en-US" w:eastAsia="zh-CN"/>
              </w:rPr>
              <w:t>资金要求：</w:t>
            </w:r>
            <w:r>
              <w:rPr>
                <w:rFonts w:hint="eastAsia"/>
                <w:color w:val="000000"/>
                <w:sz w:val="18"/>
                <w:szCs w:val="18"/>
                <w:lang w:val="en-US" w:eastAsia="zh-CN"/>
              </w:rPr>
              <w:t>□是  □否）</w:t>
            </w:r>
            <w:r>
              <w:rPr>
                <w:rFonts w:hint="eastAsia" w:ascii="宋体" w:hAnsi="宋体" w:eastAsia="宋体"/>
                <w:b w:val="0"/>
                <w:bCs w:val="0"/>
                <w:sz w:val="18"/>
                <w:szCs w:val="18"/>
                <w:lang w:val="en-US" w:eastAsia="zh-CN"/>
              </w:rPr>
              <w:t xml:space="preserve"> </w:t>
            </w:r>
          </w:p>
        </w:tc>
      </w:tr>
      <w:tr w14:paraId="07667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01A56044">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8E67761">
            <w:pPr>
              <w:spacing w:line="240" w:lineRule="auto"/>
              <w:ind w:left="0" w:leftChars="0" w:right="0" w:rightChars="0" w:firstLine="0" w:firstLineChars="0"/>
              <w:jc w:val="both"/>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w:t>
            </w:r>
            <w:r>
              <w:rPr>
                <w:rFonts w:hint="eastAsia" w:ascii="宋体" w:hAnsi="宋体" w:eastAsia="宋体" w:cs="宋体"/>
                <w:color w:val="000000"/>
                <w:kern w:val="0"/>
                <w:sz w:val="18"/>
                <w:szCs w:val="18"/>
              </w:rPr>
              <w:t>具有境内证券交易所期权交易权限</w:t>
            </w:r>
            <w:r>
              <w:rPr>
                <w:rFonts w:hint="eastAsia" w:ascii="宋体" w:hAnsi="宋体" w:eastAsia="宋体" w:cs="宋体"/>
                <w:color w:val="000000"/>
                <w:kern w:val="0"/>
                <w:sz w:val="18"/>
                <w:szCs w:val="18"/>
                <w:lang w:eastAsia="zh-CN"/>
              </w:rPr>
              <w:t>及交易记录（</w:t>
            </w:r>
            <w:r>
              <w:rPr>
                <w:rFonts w:hint="eastAsia" w:ascii="宋体" w:hAnsi="宋体" w:eastAsia="宋体" w:cs="宋体"/>
                <w:color w:val="000000"/>
                <w:kern w:val="0"/>
                <w:sz w:val="18"/>
                <w:szCs w:val="18"/>
                <w:lang w:val="en-US" w:eastAsia="zh-CN"/>
              </w:rPr>
              <w:t>如50ETF</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 xml:space="preserve"> </w:t>
            </w:r>
          </w:p>
        </w:tc>
      </w:tr>
      <w:tr w14:paraId="19B2B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05F6F122">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7C4B7128">
            <w:pPr>
              <w:spacing w:line="240" w:lineRule="auto"/>
              <w:ind w:left="0" w:leftChars="0" w:right="0" w:rightChars="0" w:firstLine="0" w:firstLineChars="0"/>
              <w:jc w:val="left"/>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 xml:space="preserve">□在其他开户机构具有该实施适当性品种的交易权限                  </w:t>
            </w:r>
          </w:p>
        </w:tc>
      </w:tr>
      <w:tr w14:paraId="470B7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41CD35EE">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812C384">
            <w:pPr>
              <w:spacing w:line="240" w:lineRule="auto"/>
              <w:ind w:left="0" w:leftChars="0" w:right="0" w:rightChars="0" w:firstLine="0" w:firstLineChars="0"/>
              <w:jc w:val="left"/>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□专业投资者、做市商、特殊单位客户等交易所认可的其他交易者</w:t>
            </w:r>
          </w:p>
        </w:tc>
      </w:tr>
      <w:tr w14:paraId="495E3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2554" w:type="dxa"/>
            <w:gridSpan w:val="3"/>
            <w:vMerge w:val="continue"/>
            <w:tcBorders>
              <w:tl2br w:val="nil"/>
              <w:tr2bl w:val="nil"/>
            </w:tcBorders>
            <w:noWrap w:val="0"/>
            <w:vAlign w:val="center"/>
          </w:tcPr>
          <w:p w14:paraId="34CA3F39">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D34A85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□具有近一年内累计不少于50个交易日</w:t>
            </w:r>
            <w:r>
              <w:rPr>
                <w:rFonts w:hint="eastAsia"/>
                <w:color w:val="000000"/>
                <w:sz w:val="18"/>
                <w:szCs w:val="18"/>
                <w:lang w:val="en-US" w:eastAsia="zh-CN"/>
              </w:rPr>
              <w:t>境内交易场所期货、期权或集中清算的其他衍生品交易成交记录或者认可境外成交记录</w:t>
            </w:r>
            <w:r>
              <w:rPr>
                <w:rFonts w:hint="eastAsia" w:ascii="宋体" w:hAnsi="宋体" w:eastAsia="宋体"/>
                <w:b w:val="0"/>
                <w:bCs w:val="0"/>
                <w:sz w:val="18"/>
                <w:szCs w:val="18"/>
                <w:lang w:val="en-US" w:eastAsia="zh-CN"/>
              </w:rPr>
              <w:t xml:space="preserve">                                          </w:t>
            </w:r>
          </w:p>
        </w:tc>
      </w:tr>
      <w:tr w14:paraId="00460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2554" w:type="dxa"/>
            <w:gridSpan w:val="3"/>
            <w:tcBorders>
              <w:tl2br w:val="nil"/>
              <w:tr2bl w:val="nil"/>
            </w:tcBorders>
            <w:noWrap w:val="0"/>
            <w:vAlign w:val="center"/>
          </w:tcPr>
          <w:p w14:paraId="46B8B60E">
            <w:pPr>
              <w:spacing w:line="240" w:lineRule="auto"/>
              <w:ind w:left="0" w:leftChars="0" w:right="0" w:rightChars="0" w:firstLine="0" w:firstLineChars="0"/>
              <w:jc w:val="both"/>
              <w:rPr>
                <w:rFonts w:hint="eastAsia" w:ascii="宋体" w:hAnsi="宋体" w:eastAsia="宋体"/>
                <w:sz w:val="18"/>
                <w:szCs w:val="21"/>
                <w:lang w:val="en-US" w:eastAsia="zh-CN"/>
              </w:rPr>
            </w:pPr>
            <w:r>
              <w:rPr>
                <w:rFonts w:hint="eastAsia" w:ascii="宋体" w:hAnsi="宋体" w:eastAsia="宋体"/>
                <w:sz w:val="18"/>
                <w:szCs w:val="21"/>
                <w:lang w:val="en-US" w:eastAsia="zh-CN"/>
              </w:rPr>
              <w:t>4.交易者合规性</w:t>
            </w:r>
          </w:p>
        </w:tc>
        <w:tc>
          <w:tcPr>
            <w:tcW w:w="9236" w:type="dxa"/>
            <w:gridSpan w:val="6"/>
            <w:tcBorders>
              <w:tl2br w:val="nil"/>
              <w:tr2bl w:val="nil"/>
            </w:tcBorders>
            <w:noWrap w:val="0"/>
            <w:vAlign w:val="center"/>
          </w:tcPr>
          <w:p w14:paraId="19C52EFC">
            <w:pPr>
              <w:spacing w:line="240" w:lineRule="auto"/>
              <w:ind w:left="0" w:leftChars="0" w:right="0" w:rightChars="0" w:firstLine="0" w:firstLineChars="0"/>
              <w:jc w:val="both"/>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□中期协风险数据库查询无记录   □证券期货市场失信记录查询无记录   □中国执行信息公开网</w:t>
            </w:r>
            <w:bookmarkStart w:id="2" w:name="_GoBack"/>
            <w:bookmarkEnd w:id="2"/>
          </w:p>
          <w:p w14:paraId="75FB79E8">
            <w:pPr>
              <w:spacing w:line="240" w:lineRule="auto"/>
              <w:ind w:left="0" w:leftChars="0" w:right="0" w:rightChars="0" w:firstLine="0" w:firstLineChars="0"/>
              <w:jc w:val="both"/>
              <w:rPr>
                <w:rFonts w:hint="default" w:ascii="宋体" w:hAnsi="宋体" w:eastAsia="宋体"/>
                <w:b w:val="0"/>
                <w:bCs w:val="0"/>
                <w:sz w:val="18"/>
                <w:szCs w:val="18"/>
                <w:lang w:val="en-US" w:eastAsia="zh-CN"/>
              </w:rPr>
            </w:pPr>
          </w:p>
        </w:tc>
      </w:tr>
      <w:tr w14:paraId="51E03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789" w:type="dxa"/>
            <w:gridSpan w:val="2"/>
            <w:tcBorders>
              <w:tl2br w:val="nil"/>
              <w:tr2bl w:val="nil"/>
            </w:tcBorders>
            <w:noWrap w:val="0"/>
            <w:vAlign w:val="center"/>
          </w:tcPr>
          <w:p w14:paraId="3F9C3C22">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cs="宋体"/>
                <w:b/>
                <w:bCs/>
                <w:sz w:val="18"/>
                <w:szCs w:val="18"/>
              </w:rPr>
              <w:t>开户经办人</w:t>
            </w:r>
          </w:p>
        </w:tc>
        <w:tc>
          <w:tcPr>
            <w:tcW w:w="3645" w:type="dxa"/>
            <w:gridSpan w:val="4"/>
            <w:tcBorders>
              <w:tl2br w:val="nil"/>
              <w:tr2bl w:val="nil"/>
            </w:tcBorders>
            <w:noWrap w:val="0"/>
            <w:vAlign w:val="center"/>
          </w:tcPr>
          <w:p w14:paraId="1C0AFD30">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p>
        </w:tc>
        <w:tc>
          <w:tcPr>
            <w:tcW w:w="1644" w:type="dxa"/>
            <w:gridSpan w:val="2"/>
            <w:tcBorders>
              <w:tl2br w:val="nil"/>
              <w:tr2bl w:val="nil"/>
            </w:tcBorders>
            <w:noWrap w:val="0"/>
            <w:vAlign w:val="center"/>
          </w:tcPr>
          <w:p w14:paraId="54AAD952">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cs="宋体"/>
                <w:b/>
                <w:bCs/>
                <w:sz w:val="18"/>
                <w:szCs w:val="18"/>
                <w:lang w:val="en-US" w:eastAsia="zh-CN"/>
              </w:rPr>
              <w:t>复核人</w:t>
            </w:r>
          </w:p>
        </w:tc>
        <w:tc>
          <w:tcPr>
            <w:tcW w:w="4712" w:type="dxa"/>
            <w:tcBorders>
              <w:tl2br w:val="nil"/>
              <w:tr2bl w:val="nil"/>
            </w:tcBorders>
            <w:noWrap w:val="0"/>
            <w:vAlign w:val="center"/>
          </w:tcPr>
          <w:p w14:paraId="2D8CFFB8">
            <w:pPr>
              <w:spacing w:line="240" w:lineRule="auto"/>
              <w:ind w:left="0" w:leftChars="0" w:right="0" w:rightChars="0" w:firstLine="0" w:firstLineChars="0"/>
              <w:jc w:val="both"/>
              <w:rPr>
                <w:rFonts w:hint="eastAsia" w:ascii="宋体" w:hAnsi="宋体" w:eastAsia="宋体" w:cs="宋体"/>
                <w:color w:val="000000"/>
                <w:sz w:val="18"/>
                <w:szCs w:val="18"/>
                <w:lang w:val="en-US" w:eastAsia="zh-CN"/>
              </w:rPr>
            </w:pPr>
          </w:p>
        </w:tc>
      </w:tr>
    </w:tbl>
    <w:p w14:paraId="37043264">
      <w:pPr>
        <w:ind w:firstLine="480" w:firstLineChars="200"/>
        <w:jc w:val="left"/>
        <w:rPr>
          <w:rFonts w:hint="eastAsia" w:ascii="宋体" w:hAnsi="宋体" w:eastAsia="宋体" w:cs="宋体"/>
          <w:b w:val="0"/>
          <w:bCs w:val="0"/>
          <w:sz w:val="24"/>
          <w:szCs w:val="24"/>
          <w:lang w:val="en-US" w:eastAsia="zh-CN"/>
        </w:rPr>
      </w:pPr>
    </w:p>
    <w:p w14:paraId="22EB822E">
      <w:pPr>
        <w:ind w:firstLine="480" w:firstLineChars="200"/>
        <w:jc w:val="left"/>
        <w:rPr>
          <w:rFonts w:hint="eastAsia" w:ascii="宋体" w:hAnsi="宋体" w:eastAsia="宋体" w:cs="宋体"/>
          <w:b w:val="0"/>
          <w:bCs w:val="0"/>
          <w:sz w:val="24"/>
          <w:szCs w:val="24"/>
          <w:lang w:val="en-US" w:eastAsia="zh-CN"/>
        </w:rPr>
        <w:sectPr>
          <w:footerReference r:id="rId4" w:type="default"/>
          <w:pgSz w:w="11906" w:h="16838"/>
          <w:pgMar w:top="283" w:right="720" w:bottom="0" w:left="720" w:header="6" w:footer="0" w:gutter="0"/>
          <w:pgNumType w:fmt="decimal" w:start="1"/>
          <w:cols w:space="425" w:num="1"/>
          <w:docGrid w:type="lines" w:linePitch="312" w:charSpace="0"/>
        </w:sectPr>
      </w:pPr>
    </w:p>
    <w:bookmarkEnd w:id="0"/>
    <w:bookmarkEnd w:id="1"/>
    <w:p w14:paraId="23DD7B8A">
      <w:pPr>
        <w:keepNext w:val="0"/>
        <w:keepLines w:val="0"/>
        <w:pageBreakBefore w:val="0"/>
        <w:widowControl w:val="0"/>
        <w:kinsoku/>
        <w:wordWrap/>
        <w:overflowPunct/>
        <w:topLinePunct w:val="0"/>
        <w:autoSpaceDE/>
        <w:autoSpaceDN/>
        <w:bidi w:val="0"/>
        <w:adjustRightInd/>
        <w:snapToGrid/>
        <w:spacing w:before="312" w:beforeLines="100" w:after="312" w:afterLines="100" w:line="24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期权业务特别风险揭示</w:t>
      </w:r>
    </w:p>
    <w:p w14:paraId="50DFF966">
      <w:pPr>
        <w:spacing w:before="312" w:beforeLines="100" w:after="312" w:afterLines="100"/>
        <w:jc w:val="center"/>
        <w:rPr>
          <w:rFonts w:hint="eastAsia" w:ascii="仿宋" w:hAnsi="仿宋" w:eastAsia="仿宋" w:cs="仿宋"/>
          <w:b/>
          <w:bCs/>
          <w:sz w:val="24"/>
          <w:szCs w:val="24"/>
        </w:rPr>
      </w:pPr>
      <w:r>
        <w:rPr>
          <w:rFonts w:hint="eastAsia" w:ascii="仿宋" w:hAnsi="仿宋" w:eastAsia="仿宋" w:cs="仿宋"/>
          <w:b/>
          <w:bCs/>
          <w:sz w:val="28"/>
          <w:szCs w:val="28"/>
        </w:rPr>
        <w:t>市场风险莫测　务请谨慎从事</w:t>
      </w:r>
    </w:p>
    <w:p w14:paraId="558C3F62">
      <w:pPr>
        <w:spacing w:line="360" w:lineRule="auto"/>
        <w:rPr>
          <w:rFonts w:hint="eastAsia" w:ascii="仿宋" w:hAnsi="仿宋" w:eastAsia="仿宋" w:cs="仿宋"/>
          <w:b/>
          <w:sz w:val="24"/>
          <w:szCs w:val="24"/>
        </w:rPr>
      </w:pPr>
      <w:r>
        <w:rPr>
          <w:rFonts w:hint="eastAsia" w:ascii="仿宋" w:hAnsi="仿宋" w:eastAsia="仿宋" w:cs="仿宋"/>
          <w:b/>
          <w:sz w:val="24"/>
          <w:szCs w:val="24"/>
        </w:rPr>
        <w:t>尊敬的客户：</w:t>
      </w:r>
    </w:p>
    <w:p w14:paraId="03F416FC">
      <w:pPr>
        <w:tabs>
          <w:tab w:val="left" w:pos="993"/>
          <w:tab w:val="left" w:pos="1134"/>
        </w:tabs>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为了使您充分了解期权业务风险，华创期货有限责任公司（以下简称“我公司”）制订《期权业务特别风险揭示书》（以下简称“风险揭示书”），向您充分揭示相关业务存在的风险，由您仔细阅读并签字确认。客户若开通期权交易权限，则本风险揭示书为《期货经纪合同》不可分割的一部分。在决定进行期权交易之前，您应当充分了解以下事项：</w:t>
      </w:r>
    </w:p>
    <w:p w14:paraId="12370F97">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提示您在办理期权业务前，应当充分理解期权</w:t>
      </w:r>
      <w:r>
        <w:rPr>
          <w:rFonts w:hint="eastAsia" w:ascii="仿宋" w:hAnsi="仿宋" w:eastAsia="仿宋" w:cs="仿宋"/>
          <w:b/>
          <w:sz w:val="24"/>
          <w:szCs w:val="24"/>
          <w:lang w:val="en-US" w:eastAsia="zh-CN"/>
        </w:rPr>
        <w:t>交易</w:t>
      </w:r>
      <w:r>
        <w:rPr>
          <w:rFonts w:hint="eastAsia" w:ascii="仿宋" w:hAnsi="仿宋" w:eastAsia="仿宋" w:cs="仿宋"/>
          <w:b/>
          <w:sz w:val="24"/>
          <w:szCs w:val="24"/>
        </w:rPr>
        <w:t>者</w:t>
      </w:r>
      <w:r>
        <w:rPr>
          <w:rFonts w:hint="eastAsia" w:ascii="仿宋" w:hAnsi="仿宋" w:eastAsia="仿宋" w:cs="仿宋"/>
          <w:b/>
          <w:sz w:val="24"/>
          <w:szCs w:val="24"/>
          <w:lang w:val="en-US" w:eastAsia="zh-CN"/>
        </w:rPr>
        <w:t>需</w:t>
      </w:r>
      <w:r>
        <w:rPr>
          <w:rFonts w:hint="eastAsia" w:ascii="仿宋" w:hAnsi="仿宋" w:eastAsia="仿宋" w:cs="仿宋"/>
          <w:b/>
          <w:sz w:val="24"/>
          <w:szCs w:val="24"/>
        </w:rPr>
        <w:t>具备的经济能力、专业知识和</w:t>
      </w:r>
      <w:r>
        <w:rPr>
          <w:rFonts w:hint="eastAsia" w:ascii="仿宋" w:hAnsi="仿宋" w:eastAsia="仿宋" w:cs="仿宋"/>
          <w:b/>
          <w:sz w:val="24"/>
          <w:szCs w:val="24"/>
          <w:lang w:val="en-US" w:eastAsia="zh-CN"/>
        </w:rPr>
        <w:t>交易</w:t>
      </w:r>
      <w:r>
        <w:rPr>
          <w:rFonts w:hint="eastAsia" w:ascii="仿宋" w:hAnsi="仿宋" w:eastAsia="仿宋" w:cs="仿宋"/>
          <w:b/>
          <w:sz w:val="24"/>
          <w:szCs w:val="24"/>
        </w:rPr>
        <w:t>经验，全面评估自身的经济承受能力、</w:t>
      </w:r>
      <w:r>
        <w:rPr>
          <w:rFonts w:hint="eastAsia" w:ascii="仿宋" w:hAnsi="仿宋" w:eastAsia="仿宋" w:cs="仿宋"/>
          <w:b/>
          <w:sz w:val="24"/>
          <w:szCs w:val="24"/>
          <w:lang w:val="en-US" w:eastAsia="zh-CN"/>
        </w:rPr>
        <w:t>交易</w:t>
      </w:r>
      <w:r>
        <w:rPr>
          <w:rFonts w:hint="eastAsia" w:ascii="仿宋" w:hAnsi="仿宋" w:eastAsia="仿宋" w:cs="仿宋"/>
          <w:b/>
          <w:sz w:val="24"/>
          <w:szCs w:val="24"/>
        </w:rPr>
        <w:t>经历、产品认知能力、风险控制能力、身体及心理承受能力等，审慎决定是否参与期权业务。</w:t>
      </w:r>
    </w:p>
    <w:p w14:paraId="233C478D">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办理期权业务前，应当了解期权的基础知识、相关法律、法规、规章、交易所业务规则和各类公告信息、中国期货市场监控中心业务规则、中国期货业协会自律规则和各类公告信息以及我公司的相关文件。</w:t>
      </w:r>
    </w:p>
    <w:p w14:paraId="03DA4547">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办理期权业务前，应当充分了解期权业务的风险特点。期权不同于期货交易业务，具有更高杠杆、更高风险性和更高联动性等特征的金融衍生工具。期权卖方采用保证金交易方式，潜在损失可能成倍放大，损失的总额可能超过全部保证金。</w:t>
      </w:r>
    </w:p>
    <w:p w14:paraId="2A476948">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期权交易的风险与国家的基本经济情况、影响期权及其相关市场供求的因素、影响标的合约价值的因素、影响期权市场波动率、流动性以及有效性的因素或者其他影响单个期权合约价值的特有因素、特定时期期权市场的质量或者运行情况等因素相关，您应当予以关注并了解。</w:t>
      </w:r>
    </w:p>
    <w:p w14:paraId="5AC1B104">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提示您期权业务实行适当性制度，您应当满足中国证监会、交易所及我公司关于适当性</w:t>
      </w:r>
      <w:r>
        <w:rPr>
          <w:rFonts w:hint="eastAsia" w:ascii="仿宋" w:hAnsi="仿宋" w:eastAsia="仿宋" w:cs="仿宋"/>
          <w:b/>
          <w:sz w:val="24"/>
          <w:szCs w:val="24"/>
          <w:lang w:val="en-US" w:eastAsia="zh-CN"/>
        </w:rPr>
        <w:t>制度</w:t>
      </w:r>
      <w:r>
        <w:rPr>
          <w:rFonts w:hint="eastAsia" w:ascii="仿宋" w:hAnsi="仿宋" w:eastAsia="仿宋" w:cs="仿宋"/>
          <w:b/>
          <w:sz w:val="24"/>
          <w:szCs w:val="24"/>
        </w:rPr>
        <w:t>管理的规定，若不符合，我公司有权限制您的期货账户全部或部分功能。适当性制度对您的各项要求以及依据制度规定对您的综合评价结果，不构成对您的</w:t>
      </w:r>
      <w:r>
        <w:rPr>
          <w:rFonts w:hint="eastAsia" w:ascii="仿宋" w:hAnsi="仿宋" w:eastAsia="仿宋" w:cs="仿宋"/>
          <w:b/>
          <w:sz w:val="24"/>
          <w:szCs w:val="24"/>
          <w:lang w:val="en-US" w:eastAsia="zh-CN"/>
        </w:rPr>
        <w:t>交易</w:t>
      </w:r>
      <w:r>
        <w:rPr>
          <w:rFonts w:hint="eastAsia" w:ascii="仿宋" w:hAnsi="仿宋" w:eastAsia="仿宋" w:cs="仿宋"/>
          <w:b/>
          <w:sz w:val="24"/>
          <w:szCs w:val="24"/>
        </w:rPr>
        <w:t>建议，也不构成对您</w:t>
      </w:r>
      <w:r>
        <w:rPr>
          <w:rFonts w:hint="eastAsia" w:ascii="仿宋" w:hAnsi="仿宋" w:eastAsia="仿宋" w:cs="仿宋"/>
          <w:b/>
          <w:sz w:val="24"/>
          <w:szCs w:val="24"/>
          <w:lang w:val="en-US" w:eastAsia="zh-CN"/>
        </w:rPr>
        <w:t>交易</w:t>
      </w:r>
      <w:r>
        <w:rPr>
          <w:rFonts w:hint="eastAsia" w:ascii="仿宋" w:hAnsi="仿宋" w:eastAsia="仿宋" w:cs="仿宋"/>
          <w:b/>
          <w:sz w:val="24"/>
          <w:szCs w:val="24"/>
        </w:rPr>
        <w:t>获利的保证。您应根据自身判断做出</w:t>
      </w:r>
      <w:r>
        <w:rPr>
          <w:rFonts w:hint="eastAsia" w:ascii="仿宋" w:hAnsi="仿宋" w:eastAsia="仿宋" w:cs="仿宋"/>
          <w:b/>
          <w:sz w:val="24"/>
          <w:szCs w:val="24"/>
          <w:lang w:val="en-US" w:eastAsia="zh-CN"/>
        </w:rPr>
        <w:t>交易</w:t>
      </w:r>
      <w:r>
        <w:rPr>
          <w:rFonts w:hint="eastAsia" w:ascii="仿宋" w:hAnsi="仿宋" w:eastAsia="仿宋" w:cs="仿宋"/>
          <w:b/>
          <w:sz w:val="24"/>
          <w:szCs w:val="24"/>
        </w:rPr>
        <w:t>决定，不得以不符合适当性标准为由拒绝承担期权交易结果和履约责任。</w:t>
      </w:r>
    </w:p>
    <w:p w14:paraId="6C1E888C">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进行期权买入交易时，可选择将期权合约平仓、持有至到期行权或者放弃行权；您选择持有期权至到期行权的，应当确保其保证金账户内有行权所需的足额资金，如果您保证金账户内没有行权所需的足额资金，我公司有权在期权最后交易日采取强制放弃行权措施，您需要承担由此造成行权失败的后果。由于最新价与结算价的差异将对期权价值产生影响，若您参与行权交易的，我公司有权关闭您的期货账户在最后交易日下午15:00后出金的权限。如果您持有权利仓在合约到期时选择不行权的，您将损失其支付的所有</w:t>
      </w:r>
      <w:r>
        <w:rPr>
          <w:rFonts w:hint="eastAsia" w:ascii="仿宋" w:hAnsi="仿宋" w:eastAsia="仿宋" w:cs="仿宋"/>
          <w:b/>
          <w:sz w:val="24"/>
          <w:szCs w:val="24"/>
          <w:lang w:val="en-US" w:eastAsia="zh-CN"/>
        </w:rPr>
        <w:t>交易</w:t>
      </w:r>
      <w:r>
        <w:rPr>
          <w:rFonts w:hint="eastAsia" w:ascii="仿宋" w:hAnsi="仿宋" w:eastAsia="仿宋" w:cs="仿宋"/>
          <w:b/>
          <w:sz w:val="24"/>
          <w:szCs w:val="24"/>
        </w:rPr>
        <w:t>金额，包括权利金及交易费用。</w:t>
      </w:r>
    </w:p>
    <w:p w14:paraId="1450AC40">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实值期权买方到期日闭市后自动行权，对于资金不足的，您应在到期日闭市前撤销该期权的平仓指令（若有），若未自行撤销的，我公司将有权在到期日14:55后强制撤销。资金足够的平值期权、虚值期权买方有行权意愿的应在到期日商品期权15:15前，股指期权15:00前通过交易系统向我公司提交行权或平仓。</w:t>
      </w:r>
    </w:p>
    <w:p w14:paraId="4C647EBA">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虚值期权原则上会自动放弃行权，如果您选择行权极大可能会蒙受更大的损失，请您一定谨慎。提示您关注卖出虚值期权向实值期权变化时，期权的保证金会大幅变化，请及时安排资金，以免发生损失，并且结算后随时有可能发生被动履约的情况（卖出期权减少，增加相应标的的期货合约），请及时关注持仓变化。</w:t>
      </w:r>
    </w:p>
    <w:p w14:paraId="0B9C4074">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提示您卖出期权交易的风险一般高于买入期权交易的风险。卖方虽然能获得权利金，但也因承担行权履约义务而面临由于合约标的价格波动，可能承受远高于该笔权利金的损失。</w:t>
      </w:r>
    </w:p>
    <w:p w14:paraId="57474FFB">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提示您关注标的合约若暂停交易的，期权合约相应暂停交易。当日为期权合约到期日的，到期日顺延至下一个交易日。</w:t>
      </w:r>
    </w:p>
    <w:p w14:paraId="50179349">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提示您关注期权的涨跌幅限制，期权的涨跌幅限制的计算方式与标的合约涨跌幅计算方式不同，</w:t>
      </w:r>
      <w:r>
        <w:rPr>
          <w:rFonts w:hint="eastAsia" w:ascii="仿宋" w:hAnsi="仿宋" w:eastAsia="仿宋" w:cs="仿宋"/>
          <w:b/>
          <w:sz w:val="24"/>
          <w:szCs w:val="24"/>
          <w:lang w:val="en-US" w:eastAsia="zh-CN"/>
        </w:rPr>
        <w:t>交易</w:t>
      </w:r>
      <w:r>
        <w:rPr>
          <w:rFonts w:hint="eastAsia" w:ascii="仿宋" w:hAnsi="仿宋" w:eastAsia="仿宋" w:cs="仿宋"/>
          <w:b/>
          <w:sz w:val="24"/>
          <w:szCs w:val="24"/>
        </w:rPr>
        <w:t>者应当关注期权合约的每日涨跌停价格。</w:t>
      </w:r>
    </w:p>
    <w:p w14:paraId="62674485">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期权的最新价与结算价的差异。期权价格明显不合理时，交易所可以调整期权合约结算价。最后交易日和申请行权日会以结算价计算期权价值，最终的行权或履约结果可能与盘中按最新价计算的期权价值以及与您的预估值有差异；特别是最后交易日闭市后，我公司会对持有到期的期权合约按预估的结算价进行试算，根据试算结果向交易所发出批量放弃的申请，预估的结算价与真实的结算价有可能存在细微的差异，您应知晓并愿意承担相应结果。</w:t>
      </w:r>
    </w:p>
    <w:p w14:paraId="5C17EFB1">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进行期权交易时，应当严格遵守交易所相关业务规则、市场公告中有关限仓、限开仓的规定，并在交易所要求时，在规定时间内及时报告。您的持仓量超过规定限额的，将导致其面临被限制卖出开仓、买入开仓以及强行平仓的风险。</w:t>
      </w:r>
    </w:p>
    <w:p w14:paraId="1D10630E">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商品期权在成功行权、履约后，将得到相应数量的标的期货合约，该合约同样面临市场行情变动的风险。提示您关注期权行权建立的期货合约持仓与原期货合约持仓合并计算，其数量不得超过期货合约持仓限额；期权行权后您期货账户的结算准备金余额不得低于零，否则，在不满足上述条件的情况下，期权行权申请按申请时间顺序实行部分行权或者不予行权。</w:t>
      </w:r>
    </w:p>
    <w:p w14:paraId="6E0AC736">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期权合约可能难以或无法平仓的风险及其可能造成的损失，当市场交易量不足或者连续出现单边涨跌停价格时，期权合约持有者可能无法在市场上找到平仓机会。在遭遇极端行情时标的合约可能会实行强制减仓，但相应的期权持仓不会实行强制减仓，除非交易所宣布进入异常情况。</w:t>
      </w:r>
    </w:p>
    <w:p w14:paraId="6C17060C">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提示您关注不同交易所期权交易规则的差异，谨慎使用市价指令和组合指令，具体规定以交易所流程为准。</w:t>
      </w:r>
    </w:p>
    <w:p w14:paraId="66F1A80C">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提示您交纳的保证金将用于承担相应的交收及违约责任，若我公司代您承担相应责任的，将取得相应追偿权，保留向您进一步追偿的权利，其方式包括但不限于司法程序。</w:t>
      </w:r>
    </w:p>
    <w:p w14:paraId="6195059A">
      <w:pPr>
        <w:numPr>
          <w:ilvl w:val="0"/>
          <w:numId w:val="1"/>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当发生不可抗力、意外事件、技术故障、重大差错、市场操纵等异常情况影响期权业务正常进行，或者您违反期权业务规则并且对市场产生或者将产生重大影响的，交易所可以按照相关规则决定采取包括但不限于调整保证金、调整涨跌停价格、调整客户持仓限额、限制交易、取消交易、强行平仓等风险控制措施，由此造成的损失，由您自行承担。</w:t>
      </w:r>
    </w:p>
    <w:p w14:paraId="60150656">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本风险揭示书的风险揭示事项仅为列举性质，未能详尽列明期权交易的所有风险和可能影响期权合约价格的所有因素。您在参与期权交易前，应认真阅读相关业务规则及《期货经纪合同》条款，对期权业务所特有的规则必须了解和掌握，并确信自己已做好足够的风险评估与财务安排，避免因参与期权交易而遭受难以承受的损失。</w:t>
      </w:r>
    </w:p>
    <w:p w14:paraId="1496A105">
      <w:pPr>
        <w:spacing w:line="360" w:lineRule="auto"/>
        <w:ind w:firstLine="482" w:firstLineChars="200"/>
        <w:rPr>
          <w:rFonts w:hint="eastAsia" w:ascii="仿宋" w:hAnsi="仿宋" w:eastAsia="仿宋" w:cs="仿宋"/>
          <w:b/>
          <w:sz w:val="24"/>
          <w:szCs w:val="24"/>
          <w:u w:val="single"/>
        </w:rPr>
      </w:pPr>
      <w:r>
        <w:rPr>
          <w:rFonts w:hint="eastAsia" w:ascii="仿宋" w:hAnsi="仿宋" w:eastAsia="仿宋" w:cs="仿宋"/>
          <w:b/>
          <w:sz w:val="24"/>
          <w:szCs w:val="24"/>
          <w:u w:val="single"/>
        </w:rPr>
        <w:t>以上《期权业务风险揭示书》的各项内容，本人/本单位已仔细阅读并完全理解。</w:t>
      </w:r>
    </w:p>
    <w:p w14:paraId="315A3D20">
      <w:pPr>
        <w:tabs>
          <w:tab w:val="left" w:pos="142"/>
        </w:tabs>
        <w:spacing w:line="360" w:lineRule="auto"/>
        <w:ind w:right="-512" w:rightChars="-244"/>
        <w:rPr>
          <w:rFonts w:hint="eastAsia" w:ascii="仿宋" w:hAnsi="仿宋" w:eastAsia="仿宋" w:cs="仿宋"/>
          <w:b/>
          <w:sz w:val="24"/>
          <w:szCs w:val="24"/>
          <w:u w:val="single"/>
          <w:lang w:val="en-US" w:eastAsia="zh-CN"/>
        </w:rPr>
      </w:pP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p>
    <w:p w14:paraId="44B630A8">
      <w:pPr>
        <w:spacing w:line="360" w:lineRule="auto"/>
        <w:rPr>
          <w:rFonts w:hint="eastAsia" w:ascii="仿宋" w:hAnsi="仿宋" w:eastAsia="仿宋" w:cs="仿宋"/>
          <w:b/>
          <w:sz w:val="24"/>
          <w:szCs w:val="24"/>
        </w:rPr>
      </w:pPr>
      <w:r>
        <w:rPr>
          <w:rFonts w:hint="eastAsia" w:ascii="仿宋" w:hAnsi="仿宋" w:eastAsia="仿宋" w:cs="仿宋"/>
          <w:b/>
          <w:sz w:val="24"/>
          <w:szCs w:val="24"/>
        </w:rPr>
        <w:t>（请抄写以上划线部分）</w:t>
      </w:r>
    </w:p>
    <w:p w14:paraId="3F11E379">
      <w:pPr>
        <w:spacing w:line="360" w:lineRule="auto"/>
        <w:ind w:right="964" w:firstLine="3510" w:firstLineChars="1457"/>
        <w:jc w:val="center"/>
        <w:rPr>
          <w:rFonts w:hint="eastAsia" w:ascii="仿宋" w:hAnsi="仿宋" w:eastAsia="仿宋" w:cs="仿宋"/>
          <w:b/>
          <w:sz w:val="24"/>
          <w:szCs w:val="24"/>
        </w:rPr>
      </w:pPr>
    </w:p>
    <w:p w14:paraId="07D30575">
      <w:pPr>
        <w:tabs>
          <w:tab w:val="left" w:pos="142"/>
        </w:tabs>
        <w:wordWrap w:val="0"/>
        <w:spacing w:line="360" w:lineRule="auto"/>
        <w:jc w:val="center"/>
        <w:rPr>
          <w:rFonts w:hint="eastAsia" w:ascii="仿宋" w:hAnsi="仿宋" w:eastAsia="仿宋" w:cs="仿宋"/>
          <w:b/>
          <w:color w:val="000000"/>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color w:val="000000"/>
          <w:sz w:val="24"/>
          <w:szCs w:val="24"/>
        </w:rPr>
        <w:t>客户</w:t>
      </w:r>
      <w:r>
        <w:rPr>
          <w:rFonts w:hint="eastAsia" w:ascii="仿宋" w:hAnsi="仿宋" w:eastAsia="仿宋" w:cs="仿宋"/>
          <w:b/>
          <w:color w:val="000000"/>
          <w:sz w:val="24"/>
          <w:szCs w:val="24"/>
          <w:lang w:val="en-US" w:eastAsia="zh-CN"/>
        </w:rPr>
        <w:t>签字</w:t>
      </w:r>
      <w:r>
        <w:rPr>
          <w:rFonts w:hint="eastAsia" w:ascii="仿宋" w:hAnsi="仿宋" w:eastAsia="仿宋" w:cs="仿宋"/>
          <w:b/>
          <w:color w:val="000000"/>
          <w:sz w:val="24"/>
          <w:szCs w:val="24"/>
        </w:rPr>
        <w:t>：</w:t>
      </w:r>
    </w:p>
    <w:p w14:paraId="3E3F01FE">
      <w:pPr>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lang w:eastAsia="zh-CN"/>
        </w:rPr>
        <w:t>（</w:t>
      </w:r>
      <w:r>
        <w:rPr>
          <w:rFonts w:hint="eastAsia" w:ascii="仿宋" w:hAnsi="仿宋" w:eastAsia="仿宋" w:cs="仿宋"/>
          <w:b/>
          <w:color w:val="000000"/>
          <w:sz w:val="24"/>
          <w:szCs w:val="24"/>
          <w:lang w:val="en-US" w:eastAsia="zh-CN"/>
        </w:rPr>
        <w:t>机构加盖公章</w:t>
      </w:r>
      <w:r>
        <w:rPr>
          <w:rFonts w:hint="eastAsia" w:ascii="仿宋" w:hAnsi="仿宋" w:eastAsia="仿宋" w:cs="仿宋"/>
          <w:b/>
          <w:color w:val="000000"/>
          <w:sz w:val="24"/>
          <w:szCs w:val="24"/>
          <w:lang w:eastAsia="zh-CN"/>
        </w:rPr>
        <w:t>）</w:t>
      </w:r>
    </w:p>
    <w:p w14:paraId="71B551D1">
      <w:pPr>
        <w:rPr>
          <w:rFonts w:hint="eastAsia" w:ascii="仿宋" w:hAnsi="仿宋" w:eastAsia="仿宋" w:cs="仿宋"/>
          <w:b/>
          <w:color w:val="000000"/>
          <w:sz w:val="24"/>
          <w:szCs w:val="24"/>
          <w:lang w:eastAsia="zh-CN"/>
        </w:rPr>
      </w:pPr>
    </w:p>
    <w:p w14:paraId="3ADA4AD5">
      <w:pPr>
        <w:tabs>
          <w:tab w:val="left" w:pos="142"/>
        </w:tabs>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签署日期：年   月   日</w:t>
      </w:r>
    </w:p>
    <w:p w14:paraId="375D35B2">
      <w:pPr>
        <w:spacing w:line="360" w:lineRule="auto"/>
        <w:ind w:right="-512" w:rightChars="-244" w:firstLine="3205" w:firstLineChars="1451"/>
        <w:rPr>
          <w:rFonts w:ascii="宋体" w:hAnsi="宋体" w:eastAsia="宋体" w:cs="宋体"/>
          <w:b/>
          <w:bCs/>
          <w:sz w:val="22"/>
          <w:szCs w:val="22"/>
        </w:rPr>
      </w:pPr>
    </w:p>
    <w:p w14:paraId="75349553">
      <w:pPr>
        <w:spacing w:line="360" w:lineRule="auto"/>
        <w:rPr>
          <w:rFonts w:hint="default" w:ascii="仿宋" w:hAnsi="仿宋" w:eastAsia="仿宋" w:cs="Times New Roman"/>
          <w:b/>
          <w:sz w:val="24"/>
          <w:szCs w:val="24"/>
          <w:lang w:val="en-US" w:eastAsia="zh-CN"/>
        </w:rPr>
      </w:pPr>
    </w:p>
    <w:sectPr>
      <w:type w:val="continuous"/>
      <w:pgSz w:w="11906" w:h="16838"/>
      <w:pgMar w:top="1440" w:right="1080" w:bottom="1440" w:left="1080" w:header="6" w:footer="113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891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39B1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039B1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D52F">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0B87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C0B875">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Times New Roman"/>
                              <w:kern w:val="2"/>
                              <w:sz w:val="21"/>
                              <w:szCs w:val="22"/>
                              <w:lang w:val="en-US" w:eastAsia="zh-CN" w:bidi="ar-SA"/>
                            </w:rPr>
                            <w:id w:val="-2064014501"/>
                            <w:docPartObj>
                              <w:docPartGallery w:val="autotext"/>
                            </w:docPartObj>
                          </w:sdtPr>
                          <w:sdtEndPr>
                            <w:rPr>
                              <w:rFonts w:hint="default" w:ascii="Calibri" w:hAnsi="Calibri" w:eastAsia="宋体" w:cs="Times New Roman"/>
                              <w:b w:val="0"/>
                              <w:bCs w:val="0"/>
                              <w:kern w:val="2"/>
                              <w:sz w:val="20"/>
                              <w:szCs w:val="20"/>
                              <w:lang w:val="en-US" w:eastAsia="zh-CN" w:bidi="ar-SA"/>
                            </w:rPr>
                          </w:sdtEndPr>
                          <w:sdtContent>
                            <w:p w14:paraId="275B37AA">
                              <w:pPr>
                                <w:widowControl w:val="0"/>
                                <w:tabs>
                                  <w:tab w:val="center" w:pos="4153"/>
                                  <w:tab w:val="right" w:pos="8306"/>
                                </w:tabs>
                                <w:snapToGrid w:val="0"/>
                                <w:jc w:val="center"/>
                                <w:rPr>
                                  <w:rFonts w:ascii="Calibri" w:hAnsi="Calibri" w:eastAsia="宋体" w:cs="Times New Roman"/>
                                  <w:b/>
                                  <w:bCs/>
                                  <w:kern w:val="2"/>
                                  <w:sz w:val="24"/>
                                  <w:szCs w:val="24"/>
                                  <w:lang w:val="en-US" w:eastAsia="zh-CN" w:bidi="ar-SA"/>
                                </w:rPr>
                              </w:pPr>
                            </w:p>
                          </w:sdtContent>
                        </w:sdt>
                        <w:p w14:paraId="4E0CF0AA">
                          <w:pPr>
                            <w:rPr>
                              <w:rFonts w:ascii="Calibri" w:hAnsi="Calibri"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rFonts w:ascii="Calibri" w:hAnsi="Calibri" w:eastAsia="宋体" w:cs="Times New Roman"/>
                        <w:kern w:val="2"/>
                        <w:sz w:val="21"/>
                        <w:szCs w:val="22"/>
                        <w:lang w:val="en-US" w:eastAsia="zh-CN" w:bidi="ar-SA"/>
                      </w:rPr>
                      <w:id w:val="-2064014501"/>
                      <w:docPartObj>
                        <w:docPartGallery w:val="autotext"/>
                      </w:docPartObj>
                    </w:sdtPr>
                    <w:sdtEndPr>
                      <w:rPr>
                        <w:rFonts w:hint="default" w:ascii="Calibri" w:hAnsi="Calibri" w:eastAsia="宋体" w:cs="Times New Roman"/>
                        <w:b w:val="0"/>
                        <w:bCs w:val="0"/>
                        <w:kern w:val="2"/>
                        <w:sz w:val="20"/>
                        <w:szCs w:val="20"/>
                        <w:lang w:val="en-US" w:eastAsia="zh-CN" w:bidi="ar-SA"/>
                      </w:rPr>
                    </w:sdtEndPr>
                    <w:sdtContent>
                      <w:p w14:paraId="275B37AA">
                        <w:pPr>
                          <w:widowControl w:val="0"/>
                          <w:tabs>
                            <w:tab w:val="center" w:pos="4153"/>
                            <w:tab w:val="right" w:pos="8306"/>
                          </w:tabs>
                          <w:snapToGrid w:val="0"/>
                          <w:jc w:val="center"/>
                          <w:rPr>
                            <w:rFonts w:ascii="Calibri" w:hAnsi="Calibri" w:eastAsia="宋体" w:cs="Times New Roman"/>
                            <w:b/>
                            <w:bCs/>
                            <w:kern w:val="2"/>
                            <w:sz w:val="24"/>
                            <w:szCs w:val="24"/>
                            <w:lang w:val="en-US" w:eastAsia="zh-CN" w:bidi="ar-SA"/>
                          </w:rPr>
                        </w:pPr>
                      </w:p>
                    </w:sdtContent>
                  </w:sdt>
                  <w:p w14:paraId="4E0CF0AA">
                    <w:pPr>
                      <w:rPr>
                        <w:rFonts w:ascii="Calibri" w:hAnsi="Calibri" w:eastAsia="宋体" w:cs="Times New Roman"/>
                        <w:kern w:val="2"/>
                        <w:sz w:val="18"/>
                        <w:szCs w:val="18"/>
                        <w:lang w:val="en-US" w:eastAsia="zh-CN" w:bidi="ar-S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DC438"/>
    <w:multiLevelType w:val="singleLevel"/>
    <w:tmpl w:val="7F4DC43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MmUwYjBhNWJhODQxZWIyNjg3MzkxMmVjZmNlNjYifQ=="/>
    <w:docVar w:name="KSO_WPS_MARK_KEY" w:val="ad04f6e0-9535-4aeb-afdb-a9dbff3d6aa8"/>
  </w:docVars>
  <w:rsids>
    <w:rsidRoot w:val="00000000"/>
    <w:rsid w:val="04612788"/>
    <w:rsid w:val="07FE73EA"/>
    <w:rsid w:val="0E48036A"/>
    <w:rsid w:val="14FF2827"/>
    <w:rsid w:val="19425181"/>
    <w:rsid w:val="19AF1531"/>
    <w:rsid w:val="1E0F6E56"/>
    <w:rsid w:val="22E62437"/>
    <w:rsid w:val="23271417"/>
    <w:rsid w:val="298E743C"/>
    <w:rsid w:val="2AEC349F"/>
    <w:rsid w:val="2C2F2496"/>
    <w:rsid w:val="2DDF3906"/>
    <w:rsid w:val="2F1467DD"/>
    <w:rsid w:val="349D2C44"/>
    <w:rsid w:val="369B5353"/>
    <w:rsid w:val="377D0EB5"/>
    <w:rsid w:val="396F4697"/>
    <w:rsid w:val="3A4B7905"/>
    <w:rsid w:val="3FF34454"/>
    <w:rsid w:val="40442581"/>
    <w:rsid w:val="41DC2627"/>
    <w:rsid w:val="46436299"/>
    <w:rsid w:val="48E70826"/>
    <w:rsid w:val="49814089"/>
    <w:rsid w:val="508E66F4"/>
    <w:rsid w:val="56EC6130"/>
    <w:rsid w:val="5E3326D0"/>
    <w:rsid w:val="5FB93A84"/>
    <w:rsid w:val="60184513"/>
    <w:rsid w:val="6172748D"/>
    <w:rsid w:val="64C54D8A"/>
    <w:rsid w:val="66765CF8"/>
    <w:rsid w:val="67D60548"/>
    <w:rsid w:val="6FCD3E49"/>
    <w:rsid w:val="74C84513"/>
    <w:rsid w:val="781D4FDF"/>
    <w:rsid w:val="78B01073"/>
    <w:rsid w:val="7B053477"/>
    <w:rsid w:val="7C81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rPr>
      <w:rFonts w:ascii="Times New Roman" w:hAnsi="Times New Roman" w:eastAsia="宋体" w:cs="Times New Roman"/>
    </w:rPr>
  </w:style>
  <w:style w:type="paragraph" w:styleId="9">
    <w:name w:val="List Paragraph"/>
    <w:basedOn w:val="1"/>
    <w:qFormat/>
    <w:uiPriority w:val="0"/>
    <w:pPr>
      <w:ind w:firstLine="420" w:firstLineChars="200"/>
    </w:pPr>
    <w:rPr>
      <w:szCs w:val="22"/>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3822</Words>
  <Characters>3868</Characters>
  <Lines>0</Lines>
  <Paragraphs>0</Paragraphs>
  <TotalTime>0</TotalTime>
  <ScaleCrop>false</ScaleCrop>
  <LinksUpToDate>false</LinksUpToDate>
  <CharactersWithSpaces>4633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dc:creator>
  <cp:lastModifiedBy>李云钱</cp:lastModifiedBy>
  <dcterms:modified xsi:type="dcterms:W3CDTF">2026-04-21T08:43:51Z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F415ED0A025B478FB27D4A5F2E739150</vt:lpwstr>
  </property>
  <property fmtid="{D5CDD505-2E9C-101B-9397-08002B2CF9AE}" pid="4" name="KSOTemplateDocerSaveRecord">
    <vt:lpwstr>eyJoZGlkIjoiYzE1YWE0NDA1NTA2MzY5YzMzMjkwZTBhMWRhNTU3N2YiLCJ1c2VySWQiOiIxNjcwMDg2NTU3In0=</vt:lpwstr>
  </property>
</Properties>
</file>